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CD" w:rsidRDefault="00FC05CD" w:rsidP="00FC05CD">
      <w:pPr>
        <w:autoSpaceDE w:val="0"/>
        <w:autoSpaceDN w:val="0"/>
        <w:adjustRightInd w:val="0"/>
        <w:jc w:val="center"/>
        <w:rPr>
          <w:iCs/>
        </w:rPr>
      </w:pPr>
    </w:p>
    <w:p w:rsidR="00FC05CD" w:rsidRDefault="00FC05CD" w:rsidP="00FC05CD">
      <w:pPr>
        <w:autoSpaceDE w:val="0"/>
        <w:autoSpaceDN w:val="0"/>
        <w:adjustRightInd w:val="0"/>
        <w:jc w:val="center"/>
        <w:rPr>
          <w:iCs/>
        </w:rPr>
      </w:pPr>
    </w:p>
    <w:p w:rsidR="00FC05CD" w:rsidRDefault="00FC05CD" w:rsidP="00FC05CD">
      <w:pPr>
        <w:jc w:val="center"/>
        <w:rPr>
          <w:rFonts w:ascii="Arial" w:hAnsi="Arial" w:cs="Arial"/>
          <w:b/>
          <w:bCs/>
          <w:sz w:val="72"/>
          <w:szCs w:val="72"/>
        </w:rPr>
      </w:pPr>
      <w:r>
        <w:rPr>
          <w:rFonts w:ascii="Arial" w:hAnsi="Arial" w:cs="Arial"/>
          <w:b/>
          <w:bCs/>
          <w:sz w:val="72"/>
          <w:szCs w:val="72"/>
        </w:rPr>
        <w:t xml:space="preserve">COMUNE </w:t>
      </w:r>
      <w:proofErr w:type="spellStart"/>
      <w:r>
        <w:rPr>
          <w:rFonts w:ascii="Arial" w:hAnsi="Arial" w:cs="Arial"/>
          <w:b/>
          <w:bCs/>
          <w:sz w:val="72"/>
          <w:szCs w:val="72"/>
        </w:rPr>
        <w:t>DI</w:t>
      </w:r>
      <w:proofErr w:type="spellEnd"/>
      <w:r>
        <w:rPr>
          <w:rFonts w:ascii="Arial" w:hAnsi="Arial" w:cs="Arial"/>
          <w:b/>
          <w:bCs/>
          <w:sz w:val="72"/>
          <w:szCs w:val="72"/>
        </w:rPr>
        <w:t xml:space="preserve"> MONTASOLA</w:t>
      </w:r>
    </w:p>
    <w:p w:rsidR="00FC05CD" w:rsidRDefault="00FC05CD" w:rsidP="00FC05CD">
      <w:pPr>
        <w:jc w:val="center"/>
        <w:rPr>
          <w:rFonts w:ascii="Arial" w:hAnsi="Arial" w:cs="Arial"/>
          <w:b/>
          <w:bCs/>
          <w:sz w:val="28"/>
          <w:szCs w:val="28"/>
        </w:rPr>
      </w:pPr>
    </w:p>
    <w:p w:rsidR="00FC05CD" w:rsidRDefault="00FC05CD" w:rsidP="00FC05CD">
      <w:pPr>
        <w:jc w:val="center"/>
        <w:rPr>
          <w:rFonts w:ascii="Arial" w:hAnsi="Arial" w:cs="Arial"/>
          <w:b/>
          <w:bCs/>
          <w:sz w:val="28"/>
          <w:szCs w:val="28"/>
        </w:rPr>
      </w:pPr>
      <w:proofErr w:type="spellStart"/>
      <w:r>
        <w:rPr>
          <w:rFonts w:ascii="Arial" w:hAnsi="Arial" w:cs="Arial"/>
          <w:b/>
          <w:bCs/>
          <w:sz w:val="28"/>
          <w:szCs w:val="28"/>
        </w:rPr>
        <w:t>PROV</w:t>
      </w:r>
      <w:proofErr w:type="spellEnd"/>
      <w:r>
        <w:rPr>
          <w:rFonts w:ascii="Arial" w:hAnsi="Arial" w:cs="Arial"/>
          <w:b/>
          <w:bCs/>
          <w:sz w:val="28"/>
          <w:szCs w:val="28"/>
        </w:rPr>
        <w:t xml:space="preserve">. </w:t>
      </w:r>
      <w:proofErr w:type="spellStart"/>
      <w:r>
        <w:rPr>
          <w:rFonts w:ascii="Arial" w:hAnsi="Arial" w:cs="Arial"/>
          <w:b/>
          <w:bCs/>
          <w:sz w:val="28"/>
          <w:szCs w:val="28"/>
        </w:rPr>
        <w:t>DI</w:t>
      </w:r>
      <w:proofErr w:type="spellEnd"/>
      <w:r>
        <w:rPr>
          <w:rFonts w:ascii="Arial" w:hAnsi="Arial" w:cs="Arial"/>
          <w:b/>
          <w:bCs/>
          <w:sz w:val="28"/>
          <w:szCs w:val="28"/>
        </w:rPr>
        <w:t xml:space="preserve"> RIETI</w:t>
      </w: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r>
        <w:rPr>
          <w:rFonts w:ascii="Times New Roman" w:hAnsi="Times New Roman" w:cs="Times New Roman"/>
          <w:noProof/>
          <w:sz w:val="24"/>
          <w:szCs w:val="24"/>
        </w:rPr>
        <w:drawing>
          <wp:anchor distT="0" distB="0" distL="114300" distR="114300" simplePos="0" relativeHeight="251658240" behindDoc="1" locked="1" layoutInCell="1" allowOverlap="1">
            <wp:simplePos x="0" y="0"/>
            <wp:positionH relativeFrom="column">
              <wp:posOffset>2057400</wp:posOffset>
            </wp:positionH>
            <wp:positionV relativeFrom="paragraph">
              <wp:posOffset>-789940</wp:posOffset>
            </wp:positionV>
            <wp:extent cx="1652270" cy="1870710"/>
            <wp:effectExtent l="19050" t="0" r="5080" b="0"/>
            <wp:wrapNone/>
            <wp:docPr id="6" name="Immagine 6" descr="C:\Users\UFF RAGIONERIA\Desktop\BILANCIO 2019\E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FF RAGIONERIA\Desktop\BILANCIO 2019\ENTE.BMP"/>
                    <pic:cNvPicPr>
                      <a:picLocks noChangeAspect="1" noChangeArrowheads="1"/>
                    </pic:cNvPicPr>
                  </pic:nvPicPr>
                  <pic:blipFill>
                    <a:blip r:embed="rId6" r:link="rId7"/>
                    <a:srcRect/>
                    <a:stretch>
                      <a:fillRect/>
                    </a:stretch>
                  </pic:blipFill>
                  <pic:spPr bwMode="auto">
                    <a:xfrm>
                      <a:off x="0" y="0"/>
                      <a:ext cx="1652270" cy="1870710"/>
                    </a:xfrm>
                    <a:prstGeom prst="rect">
                      <a:avLst/>
                    </a:prstGeom>
                    <a:noFill/>
                  </pic:spPr>
                </pic:pic>
              </a:graphicData>
            </a:graphic>
          </wp:anchor>
        </w:drawing>
      </w: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Casella di testo 2" o:spid="_x0000_s1026" type="#_x0000_t202" style="position:absolute;margin-left:0;margin-top:5in;width:494.95pt;height:118.95pt;z-index:251658240;visibility:visible;mso-wrap-distance-top:3.6pt;mso-wrap-distance-bottom:3.6pt;mso-position-horizontal-relative:margin;mso-position-vertical-relative:margin">
            <v:shadow on="t" color="black" opacity="26214f" origin="-.5,-.5" offset=".74836mm,.74836mm"/>
            <v:textbox style="mso-next-textbox:#Casella di testo 2">
              <w:txbxContent>
                <w:p w:rsidR="00FC05CD" w:rsidRDefault="00FC05CD" w:rsidP="00FC05CD">
                  <w:pPr>
                    <w:jc w:val="center"/>
                    <w:rPr>
                      <w:sz w:val="48"/>
                      <w:szCs w:val="48"/>
                    </w:rPr>
                  </w:pPr>
                  <w:r>
                    <w:rPr>
                      <w:sz w:val="48"/>
                      <w:szCs w:val="48"/>
                    </w:rPr>
                    <w:t>NOTA INTEGRATIVA</w:t>
                  </w:r>
                </w:p>
                <w:p w:rsidR="00FC05CD" w:rsidRDefault="00FC05CD" w:rsidP="00FC05CD">
                  <w:pPr>
                    <w:jc w:val="center"/>
                    <w:rPr>
                      <w:sz w:val="48"/>
                      <w:szCs w:val="48"/>
                    </w:rPr>
                  </w:pPr>
                  <w:r>
                    <w:rPr>
                      <w:sz w:val="48"/>
                      <w:szCs w:val="48"/>
                    </w:rPr>
                    <w:t xml:space="preserve">DOCUMENTO UNICO </w:t>
                  </w:r>
                  <w:proofErr w:type="spellStart"/>
                  <w:r>
                    <w:rPr>
                      <w:sz w:val="48"/>
                      <w:szCs w:val="48"/>
                    </w:rPr>
                    <w:t>DI</w:t>
                  </w:r>
                  <w:proofErr w:type="spellEnd"/>
                  <w:r>
                    <w:rPr>
                      <w:sz w:val="48"/>
                      <w:szCs w:val="48"/>
                    </w:rPr>
                    <w:t xml:space="preserve"> PROGRAMMAZIONE</w:t>
                  </w:r>
                </w:p>
                <w:p w:rsidR="00FC05CD" w:rsidRDefault="00FC05CD" w:rsidP="00FC05CD">
                  <w:pPr>
                    <w:jc w:val="center"/>
                    <w:rPr>
                      <w:sz w:val="48"/>
                      <w:szCs w:val="48"/>
                    </w:rPr>
                  </w:pPr>
                  <w:r>
                    <w:rPr>
                      <w:sz w:val="48"/>
                      <w:szCs w:val="48"/>
                    </w:rPr>
                    <w:t>2019-2020-2021</w:t>
                  </w:r>
                </w:p>
              </w:txbxContent>
            </v:textbox>
            <w10:wrap type="square" anchorx="margin" anchory="margin"/>
          </v:shape>
        </w:pict>
      </w: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rPr>
          <w:rFonts w:ascii="Arial" w:hAnsi="Arial" w:cs="Arial"/>
          <w:b/>
          <w:bCs/>
          <w:sz w:val="28"/>
          <w:szCs w:val="28"/>
        </w:rPr>
      </w:pPr>
    </w:p>
    <w:p w:rsidR="00FC05CD" w:rsidRDefault="00FC05CD" w:rsidP="00FC05CD">
      <w:pPr>
        <w:pStyle w:val="ListParagraph"/>
        <w:spacing w:before="240" w:after="120"/>
        <w:ind w:left="851" w:hanging="360"/>
        <w:jc w:val="both"/>
        <w:rPr>
          <w:rFonts w:ascii="Arial" w:hAnsi="Arial" w:cs="Arial"/>
          <w:u w:val="single"/>
        </w:rPr>
      </w:pPr>
      <w:r>
        <w:rPr>
          <w:rFonts w:ascii="Arial" w:hAnsi="Arial" w:cs="Arial"/>
          <w:u w:val="single"/>
        </w:rPr>
        <w:lastRenderedPageBreak/>
        <w:t>Politica in materia di risorse umane</w:t>
      </w:r>
    </w:p>
    <w:p w:rsidR="00C63FCD" w:rsidRDefault="00C63FCD" w:rsidP="00FC05CD">
      <w:pPr>
        <w:pStyle w:val="ListParagraph"/>
        <w:spacing w:before="240" w:after="120"/>
        <w:ind w:left="851" w:hanging="360"/>
        <w:jc w:val="both"/>
        <w:rPr>
          <w:rFonts w:ascii="Arial" w:hAnsi="Arial" w:cs="Arial"/>
          <w:u w:val="single"/>
        </w:rPr>
      </w:pPr>
    </w:p>
    <w:p w:rsidR="0068360E" w:rsidRDefault="0068360E" w:rsidP="00FC05CD">
      <w:pPr>
        <w:tabs>
          <w:tab w:val="left" w:pos="3015"/>
        </w:tabs>
        <w:jc w:val="both"/>
      </w:pPr>
      <w:r>
        <w:t>RISPETTO A QUANTO INDICATO NEL DUP LA COMPOSIZIONE DELLA PIANTA ORGANICA RILEVA IL SEGUENTE ASSETTO.</w:t>
      </w:r>
    </w:p>
    <w:p w:rsidR="00FC05CD" w:rsidRDefault="00FC05CD" w:rsidP="00FC05CD">
      <w:pPr>
        <w:tabs>
          <w:tab w:val="left" w:pos="3015"/>
        </w:tabs>
        <w:jc w:val="both"/>
        <w:rPr>
          <w:rFonts w:ascii="Times New Roman" w:hAnsi="Times New Roman" w:cs="Times New Roman"/>
        </w:rPr>
      </w:pPr>
      <w:r>
        <w:t>Attualmente l'Ente occupa n. 5  unità di personale  di cui:</w:t>
      </w:r>
    </w:p>
    <w:p w:rsidR="00FC05CD" w:rsidRDefault="00FC05CD" w:rsidP="00FC05CD">
      <w:pPr>
        <w:numPr>
          <w:ilvl w:val="0"/>
          <w:numId w:val="4"/>
        </w:numPr>
        <w:tabs>
          <w:tab w:val="left" w:pos="3015"/>
        </w:tabs>
        <w:spacing w:after="160" w:line="256" w:lineRule="auto"/>
        <w:jc w:val="both"/>
      </w:pPr>
      <w:r>
        <w:t xml:space="preserve">una </w:t>
      </w:r>
      <w:r w:rsidR="0068360E">
        <w:t xml:space="preserve"> </w:t>
      </w:r>
      <w:r>
        <w:t>responsabile dell’area amministrativa a tempo pieno per 36 ore settimanali</w:t>
      </w:r>
      <w:r w:rsidR="0068360E">
        <w:t xml:space="preserve"> DAL 1 </w:t>
      </w:r>
      <w:proofErr w:type="spellStart"/>
      <w:r w:rsidR="0068360E">
        <w:t>DI</w:t>
      </w:r>
      <w:proofErr w:type="spellEnd"/>
      <w:r w:rsidR="0068360E">
        <w:t xml:space="preserve"> GENNAIO 2019 DALLA </w:t>
      </w:r>
      <w:proofErr w:type="spellStart"/>
      <w:r w:rsidR="0068360E">
        <w:t>CAT</w:t>
      </w:r>
      <w:proofErr w:type="spellEnd"/>
      <w:r w:rsidR="0068360E">
        <w:t>. D/4 è stata inquadra nella  CAT D/5</w:t>
      </w:r>
      <w:r>
        <w:t>.</w:t>
      </w:r>
    </w:p>
    <w:p w:rsidR="00FC05CD" w:rsidRDefault="00FC05CD" w:rsidP="00FC05CD">
      <w:pPr>
        <w:numPr>
          <w:ilvl w:val="0"/>
          <w:numId w:val="4"/>
        </w:numPr>
        <w:tabs>
          <w:tab w:val="left" w:pos="3015"/>
        </w:tabs>
        <w:spacing w:after="160" w:line="256" w:lineRule="auto"/>
        <w:jc w:val="both"/>
      </w:pPr>
      <w:r>
        <w:t>due impiegate di concetto impiegate l’una nel settore amministrativo e l’altra nel settore tributi a tempo part-time per ore 18 settimanali</w:t>
      </w:r>
      <w:r w:rsidR="0068360E">
        <w:t xml:space="preserve">  dalla CAT B/2 DAL 1 </w:t>
      </w:r>
      <w:proofErr w:type="spellStart"/>
      <w:r w:rsidR="0068360E">
        <w:t>DI</w:t>
      </w:r>
      <w:proofErr w:type="spellEnd"/>
      <w:r w:rsidR="0068360E">
        <w:t xml:space="preserve"> DICEMBRE 2018 sono state inquadrate nella CAT B/3</w:t>
      </w:r>
      <w:r>
        <w:t xml:space="preserve">. </w:t>
      </w:r>
    </w:p>
    <w:p w:rsidR="0068360E" w:rsidRDefault="00FC05CD" w:rsidP="0068360E">
      <w:pPr>
        <w:numPr>
          <w:ilvl w:val="0"/>
          <w:numId w:val="4"/>
        </w:numPr>
        <w:tabs>
          <w:tab w:val="left" w:pos="3015"/>
        </w:tabs>
        <w:spacing w:after="160" w:line="256" w:lineRule="auto"/>
        <w:jc w:val="both"/>
      </w:pPr>
      <w:r>
        <w:t>una operaio generico a tempo pieno per 36 ore settimanali</w:t>
      </w:r>
      <w:r w:rsidR="0068360E">
        <w:t xml:space="preserve"> DAL 1 </w:t>
      </w:r>
      <w:proofErr w:type="spellStart"/>
      <w:r w:rsidR="0068360E">
        <w:t>DI</w:t>
      </w:r>
      <w:proofErr w:type="spellEnd"/>
      <w:r w:rsidR="0068360E">
        <w:t xml:space="preserve"> </w:t>
      </w:r>
      <w:r w:rsidR="00C63FCD">
        <w:t>GENNAIO</w:t>
      </w:r>
      <w:r w:rsidR="0068360E">
        <w:t xml:space="preserve"> 201</w:t>
      </w:r>
      <w:r w:rsidR="00C63FCD">
        <w:t>9</w:t>
      </w:r>
      <w:r w:rsidR="0068360E">
        <w:t xml:space="preserve">  inquadrata nella CAT B/4. </w:t>
      </w:r>
    </w:p>
    <w:p w:rsidR="00C63FCD" w:rsidRDefault="00FC05CD" w:rsidP="00C63FCD">
      <w:pPr>
        <w:numPr>
          <w:ilvl w:val="0"/>
          <w:numId w:val="4"/>
        </w:numPr>
        <w:tabs>
          <w:tab w:val="left" w:pos="3015"/>
        </w:tabs>
        <w:spacing w:after="160" w:line="256" w:lineRule="auto"/>
        <w:jc w:val="both"/>
      </w:pPr>
      <w:r>
        <w:t>una in A/</w:t>
      </w:r>
      <w:r w:rsidR="0068360E">
        <w:rPr>
          <w:i/>
        </w:rPr>
        <w:t xml:space="preserve">2 </w:t>
      </w:r>
      <w:r>
        <w:t xml:space="preserve">operaio generico a tempo part </w:t>
      </w:r>
      <w:proofErr w:type="spellStart"/>
      <w:r>
        <w:t>–time</w:t>
      </w:r>
      <w:proofErr w:type="spellEnd"/>
      <w:r>
        <w:t xml:space="preserve"> per 18 ore settimanali</w:t>
      </w:r>
      <w:r w:rsidR="00C63FCD">
        <w:t xml:space="preserve"> DAL 1 </w:t>
      </w:r>
      <w:proofErr w:type="spellStart"/>
      <w:r w:rsidR="00C63FCD">
        <w:t>DI</w:t>
      </w:r>
      <w:proofErr w:type="spellEnd"/>
      <w:r w:rsidR="00C63FCD">
        <w:t xml:space="preserve"> DICEMBRE 2018  inquadrata nella CAT A/3. </w:t>
      </w:r>
    </w:p>
    <w:p w:rsidR="00FC05CD" w:rsidRDefault="00FC05CD" w:rsidP="00FC05CD">
      <w:pPr>
        <w:numPr>
          <w:ilvl w:val="0"/>
          <w:numId w:val="4"/>
        </w:numPr>
        <w:tabs>
          <w:tab w:val="left" w:pos="3015"/>
        </w:tabs>
        <w:spacing w:after="160" w:line="256" w:lineRule="auto"/>
        <w:ind w:left="360"/>
        <w:jc w:val="both"/>
      </w:pPr>
      <w:r>
        <w:t>Il servizio di ragioneria viene svolto da una unità di personale  responsabile del servizio finanziario, personale e tributi in convenzione con  il Comune di  VACONE</w:t>
      </w:r>
      <w:r w:rsidR="00C63FCD">
        <w:t xml:space="preserve"> CHE DAL 1.01.2019 è stata inquadrata nella </w:t>
      </w:r>
      <w:proofErr w:type="spellStart"/>
      <w:r w:rsidR="00C63FCD">
        <w:t>CAT</w:t>
      </w:r>
      <w:proofErr w:type="spellEnd"/>
      <w:r w:rsidR="00C63FCD">
        <w:t>. D/7</w:t>
      </w:r>
      <w:r>
        <w:t>.</w:t>
      </w:r>
    </w:p>
    <w:p w:rsidR="00FC05CD" w:rsidRDefault="00FC05CD" w:rsidP="00FC05CD">
      <w:pPr>
        <w:pStyle w:val="Corpodeltesto2"/>
        <w:tabs>
          <w:tab w:val="left" w:pos="3015"/>
        </w:tabs>
        <w:spacing w:after="160" w:line="256" w:lineRule="auto"/>
        <w:ind w:left="360"/>
        <w:jc w:val="both"/>
      </w:pPr>
      <w:r>
        <w:t xml:space="preserve">Il servizio tecnico viene svolto da una unità di personale  in </w:t>
      </w:r>
      <w:proofErr w:type="spellStart"/>
      <w:r>
        <w:t>cat</w:t>
      </w:r>
      <w:proofErr w:type="spellEnd"/>
      <w:r>
        <w:t xml:space="preserve"> D/1 </w:t>
      </w:r>
      <w:proofErr w:type="spellStart"/>
      <w:r>
        <w:t>responssabile</w:t>
      </w:r>
      <w:proofErr w:type="spellEnd"/>
      <w:r>
        <w:t xml:space="preserve"> del servizio  in convenzione con  il Comune di  POGGIO MIRTETO.</w:t>
      </w:r>
    </w:p>
    <w:p w:rsidR="00FC05CD" w:rsidRDefault="00FC05CD" w:rsidP="00FC05CD">
      <w:pPr>
        <w:pStyle w:val="Corpodeltesto2"/>
        <w:tabs>
          <w:tab w:val="left" w:pos="3015"/>
        </w:tabs>
        <w:spacing w:after="160" w:line="256" w:lineRule="auto"/>
        <w:ind w:left="360"/>
        <w:jc w:val="both"/>
      </w:pPr>
      <w:r>
        <w:t xml:space="preserve">Il servizio di vigilanza viene svolto da una unità di personale  in </w:t>
      </w:r>
      <w:proofErr w:type="spellStart"/>
      <w:r>
        <w:t>cat</w:t>
      </w:r>
      <w:proofErr w:type="spellEnd"/>
      <w:r>
        <w:t xml:space="preserve"> C/3 responsabile del servizio vigilanza  gestito dall’Unione dei Comuni della </w:t>
      </w:r>
      <w:proofErr w:type="spellStart"/>
      <w:r>
        <w:t>Val</w:t>
      </w:r>
      <w:proofErr w:type="spellEnd"/>
      <w:r>
        <w:t xml:space="preserve"> D’Aia.</w:t>
      </w:r>
    </w:p>
    <w:p w:rsidR="00FC05CD" w:rsidRDefault="00FC05CD" w:rsidP="00FC05CD">
      <w:pPr>
        <w:pStyle w:val="Corpodeltesto2"/>
        <w:tabs>
          <w:tab w:val="left" w:pos="3015"/>
        </w:tabs>
        <w:spacing w:after="160" w:line="256" w:lineRule="auto"/>
        <w:ind w:left="360"/>
        <w:jc w:val="both"/>
      </w:pPr>
      <w:r>
        <w:t>Oltre al personale in organico l'Ente occupa n.</w:t>
      </w:r>
      <w:r w:rsidR="00C63FCD">
        <w:t>2</w:t>
      </w:r>
      <w:r>
        <w:t xml:space="preserve"> lavoratori LSU   per  20 ore settimanali cadauna impegnate per lavori socialmen</w:t>
      </w:r>
      <w:r w:rsidR="00C63FCD">
        <w:t>t</w:t>
      </w:r>
      <w:r>
        <w:t>e utili.</w:t>
      </w:r>
    </w:p>
    <w:p w:rsidR="00C63FCD" w:rsidRDefault="00C63FCD" w:rsidP="00FC05CD">
      <w:pPr>
        <w:pStyle w:val="Corpodeltesto2"/>
        <w:tabs>
          <w:tab w:val="left" w:pos="3015"/>
        </w:tabs>
        <w:spacing w:after="160" w:line="256" w:lineRule="auto"/>
        <w:ind w:left="360"/>
        <w:jc w:val="both"/>
      </w:pPr>
      <w:r>
        <w:t xml:space="preserve">La terza unità di personale con decorrenza 28.02.2019 ha stipulato un contratto a tempo indeterminato con un periodo di prova di due mesi ad oggi superato e quindi in pianta stabile presso l'organico del COMUNE </w:t>
      </w:r>
      <w:proofErr w:type="spellStart"/>
      <w:r>
        <w:t>DI</w:t>
      </w:r>
      <w:proofErr w:type="spellEnd"/>
      <w:r>
        <w:t xml:space="preserve"> ORTE per la gestione della farmacia comunale</w:t>
      </w:r>
    </w:p>
    <w:p w:rsidR="00FC05CD" w:rsidRDefault="00FC05CD" w:rsidP="00FC05CD">
      <w:pPr>
        <w:tabs>
          <w:tab w:val="left" w:pos="3015"/>
        </w:tabs>
        <w:jc w:val="both"/>
      </w:pPr>
      <w:r>
        <w:t>L'incidenza della spesa di personale sul totale delle spese correnti resta al di sotto dei limiti di legge grazie  al convenzionamento dei servizi di cui sopra.</w:t>
      </w:r>
    </w:p>
    <w:p w:rsidR="00FC05CD" w:rsidRDefault="00FC05CD" w:rsidP="00FC05CD">
      <w:pPr>
        <w:tabs>
          <w:tab w:val="left" w:pos="3015"/>
        </w:tabs>
        <w:jc w:val="both"/>
        <w:rPr>
          <w:rFonts w:ascii="Arial" w:hAnsi="Arial" w:cs="Arial"/>
        </w:rPr>
      </w:pPr>
      <w:r>
        <w:t xml:space="preserve"> L'Ente confermerà nel bilancio del prossimo triennio le risorse per l'aggiornamento e la formazione professionale. Non sono previste nuove assunzioni nel prossimo triennio</w:t>
      </w:r>
      <w:r>
        <w:rPr>
          <w:rFonts w:ascii="Arial" w:hAnsi="Arial" w:cs="Arial"/>
        </w:rPr>
        <w:t>.</w:t>
      </w:r>
    </w:p>
    <w:p w:rsidR="00FC05CD" w:rsidRDefault="00FC05CD" w:rsidP="00FC05CD">
      <w:pPr>
        <w:tabs>
          <w:tab w:val="left" w:pos="3015"/>
        </w:tabs>
        <w:jc w:val="center"/>
        <w:rPr>
          <w:rFonts w:ascii="Arial" w:hAnsi="Arial" w:cs="Arial"/>
        </w:rPr>
      </w:pPr>
    </w:p>
    <w:p w:rsidR="00C63FCD" w:rsidRDefault="00C63FCD" w:rsidP="00FC05CD">
      <w:pPr>
        <w:tabs>
          <w:tab w:val="left" w:pos="3015"/>
        </w:tabs>
        <w:jc w:val="center"/>
        <w:rPr>
          <w:rFonts w:ascii="Arial" w:hAnsi="Arial" w:cs="Arial"/>
        </w:rPr>
      </w:pPr>
    </w:p>
    <w:p w:rsidR="00C63FCD" w:rsidRDefault="00C63FCD" w:rsidP="00FC05CD">
      <w:pPr>
        <w:tabs>
          <w:tab w:val="left" w:pos="3015"/>
        </w:tabs>
        <w:jc w:val="center"/>
        <w:rPr>
          <w:rFonts w:ascii="Arial" w:hAnsi="Arial" w:cs="Arial"/>
        </w:rPr>
      </w:pPr>
    </w:p>
    <w:p w:rsidR="00C63FCD" w:rsidRDefault="00C63FCD" w:rsidP="00FC05CD">
      <w:pPr>
        <w:tabs>
          <w:tab w:val="left" w:pos="3015"/>
        </w:tabs>
        <w:jc w:val="center"/>
        <w:rPr>
          <w:rFonts w:ascii="Arial" w:hAnsi="Arial" w:cs="Arial"/>
        </w:rPr>
      </w:pPr>
    </w:p>
    <w:p w:rsidR="00C63FCD" w:rsidRDefault="00C63FCD" w:rsidP="00FC05CD">
      <w:pPr>
        <w:tabs>
          <w:tab w:val="left" w:pos="3015"/>
        </w:tabs>
        <w:jc w:val="center"/>
        <w:rPr>
          <w:rFonts w:ascii="Arial" w:hAnsi="Arial" w:cs="Arial"/>
        </w:rPr>
      </w:pPr>
    </w:p>
    <w:p w:rsidR="00C63FCD" w:rsidRDefault="00C63FCD" w:rsidP="00FC05CD">
      <w:pPr>
        <w:tabs>
          <w:tab w:val="left" w:pos="3015"/>
        </w:tabs>
        <w:jc w:val="center"/>
        <w:rPr>
          <w:rFonts w:ascii="Arial" w:hAnsi="Arial" w:cs="Arial"/>
        </w:rPr>
      </w:pPr>
    </w:p>
    <w:p w:rsidR="00FC05CD" w:rsidRDefault="00FC05CD" w:rsidP="00FC05CD">
      <w:pPr>
        <w:tabs>
          <w:tab w:val="left" w:pos="3015"/>
        </w:tabs>
        <w:jc w:val="center"/>
        <w:rPr>
          <w:rFonts w:ascii="Arial" w:hAnsi="Arial" w:cs="Arial"/>
        </w:rPr>
      </w:pPr>
      <w:r>
        <w:rPr>
          <w:rFonts w:ascii="Arial" w:hAnsi="Arial" w:cs="Arial"/>
        </w:rPr>
        <w:lastRenderedPageBreak/>
        <w:t>ANDAMENTO DELLA COMPOSIZIONE DEL PERSONALE</w:t>
      </w:r>
    </w:p>
    <w:p w:rsidR="00FC05CD" w:rsidRDefault="00FC05CD" w:rsidP="00FC05CD">
      <w:pPr>
        <w:tabs>
          <w:tab w:val="left" w:pos="3015"/>
        </w:tabs>
        <w:jc w:val="center"/>
        <w:rPr>
          <w:rFonts w:ascii="Arial" w:hAnsi="Arial" w:cs="Arial"/>
        </w:rPr>
      </w:pP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0"/>
        <w:gridCol w:w="1378"/>
        <w:gridCol w:w="1378"/>
        <w:gridCol w:w="1378"/>
        <w:gridCol w:w="1378"/>
        <w:gridCol w:w="1378"/>
      </w:tblGrid>
      <w:tr w:rsidR="00FC05CD" w:rsidTr="00FC05CD">
        <w:tc>
          <w:tcPr>
            <w:tcW w:w="2739" w:type="dxa"/>
            <w:tcBorders>
              <w:top w:val="single" w:sz="4" w:space="0" w:color="auto"/>
              <w:left w:val="single" w:sz="4" w:space="0" w:color="auto"/>
              <w:bottom w:val="single" w:sz="4" w:space="0" w:color="auto"/>
              <w:right w:val="single" w:sz="4" w:space="0" w:color="auto"/>
            </w:tcBorders>
            <w:shd w:val="clear" w:color="auto" w:fill="F2F2F2"/>
          </w:tcPr>
          <w:p w:rsidR="00FC05CD" w:rsidRDefault="00FC05CD">
            <w:pPr>
              <w:tabs>
                <w:tab w:val="left" w:pos="3015"/>
              </w:tabs>
              <w:jc w:val="both"/>
              <w:rPr>
                <w:rFonts w:ascii="Arial" w:hAnsi="Arial" w:cs="Arial"/>
                <w:b/>
                <w:bCs/>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rsidP="00C63FCD">
            <w:pPr>
              <w:tabs>
                <w:tab w:val="left" w:pos="3015"/>
              </w:tabs>
              <w:jc w:val="center"/>
              <w:rPr>
                <w:rFonts w:ascii="Arial" w:hAnsi="Arial" w:cs="Arial"/>
                <w:b/>
                <w:bCs/>
                <w:sz w:val="24"/>
                <w:szCs w:val="24"/>
                <w:lang w:val="en-GB"/>
              </w:rPr>
            </w:pPr>
            <w:r>
              <w:rPr>
                <w:rFonts w:ascii="Arial" w:hAnsi="Arial" w:cs="Arial"/>
                <w:b/>
                <w:bCs/>
                <w:lang w:val="en-GB"/>
              </w:rPr>
              <w:t>201</w:t>
            </w:r>
            <w:r w:rsidR="00C63FCD">
              <w:rPr>
                <w:rFonts w:ascii="Arial" w:hAnsi="Arial" w:cs="Arial"/>
                <w:b/>
                <w:bCs/>
                <w:lang w:val="en-GB"/>
              </w:rPr>
              <w:t>5</w:t>
            </w:r>
          </w:p>
        </w:tc>
        <w:tc>
          <w:tcPr>
            <w:tcW w:w="1378"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rsidP="00C63FCD">
            <w:pPr>
              <w:tabs>
                <w:tab w:val="left" w:pos="3015"/>
              </w:tabs>
              <w:jc w:val="center"/>
              <w:rPr>
                <w:rFonts w:ascii="Arial" w:hAnsi="Arial" w:cs="Arial"/>
                <w:b/>
                <w:bCs/>
                <w:sz w:val="24"/>
                <w:szCs w:val="24"/>
                <w:lang w:val="en-GB"/>
              </w:rPr>
            </w:pPr>
            <w:r>
              <w:rPr>
                <w:rFonts w:ascii="Arial" w:hAnsi="Arial" w:cs="Arial"/>
                <w:b/>
                <w:bCs/>
                <w:lang w:val="en-GB"/>
              </w:rPr>
              <w:t>201</w:t>
            </w:r>
            <w:r w:rsidR="00C63FCD">
              <w:rPr>
                <w:rFonts w:ascii="Arial" w:hAnsi="Arial" w:cs="Arial"/>
                <w:b/>
                <w:bCs/>
                <w:lang w:val="en-GB"/>
              </w:rPr>
              <w:t>6</w:t>
            </w:r>
          </w:p>
        </w:tc>
        <w:tc>
          <w:tcPr>
            <w:tcW w:w="1378"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rsidP="00C63FCD">
            <w:pPr>
              <w:tabs>
                <w:tab w:val="left" w:pos="3015"/>
              </w:tabs>
              <w:jc w:val="center"/>
              <w:rPr>
                <w:rFonts w:ascii="Arial" w:hAnsi="Arial" w:cs="Arial"/>
                <w:b/>
                <w:bCs/>
                <w:sz w:val="24"/>
                <w:szCs w:val="24"/>
                <w:lang w:val="en-GB"/>
              </w:rPr>
            </w:pPr>
            <w:r>
              <w:rPr>
                <w:rFonts w:ascii="Arial" w:hAnsi="Arial" w:cs="Arial"/>
                <w:b/>
                <w:bCs/>
                <w:lang w:val="en-GB"/>
              </w:rPr>
              <w:t>201</w:t>
            </w:r>
            <w:r w:rsidR="00C63FCD">
              <w:rPr>
                <w:rFonts w:ascii="Arial" w:hAnsi="Arial" w:cs="Arial"/>
                <w:b/>
                <w:bCs/>
                <w:lang w:val="en-GB"/>
              </w:rPr>
              <w:t>7</w:t>
            </w:r>
          </w:p>
        </w:tc>
        <w:tc>
          <w:tcPr>
            <w:tcW w:w="1378"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rsidP="00C63FCD">
            <w:pPr>
              <w:tabs>
                <w:tab w:val="left" w:pos="3015"/>
              </w:tabs>
              <w:jc w:val="center"/>
              <w:rPr>
                <w:rFonts w:ascii="Arial" w:hAnsi="Arial" w:cs="Arial"/>
                <w:b/>
                <w:bCs/>
                <w:sz w:val="24"/>
                <w:szCs w:val="24"/>
                <w:lang w:val="en-GB"/>
              </w:rPr>
            </w:pPr>
            <w:r>
              <w:rPr>
                <w:rFonts w:ascii="Arial" w:hAnsi="Arial" w:cs="Arial"/>
                <w:b/>
                <w:bCs/>
                <w:lang w:val="en-GB"/>
              </w:rPr>
              <w:t>201</w:t>
            </w:r>
            <w:r w:rsidR="00C63FCD">
              <w:rPr>
                <w:rFonts w:ascii="Arial" w:hAnsi="Arial" w:cs="Arial"/>
                <w:b/>
                <w:bCs/>
                <w:lang w:val="en-GB"/>
              </w:rPr>
              <w:t>8</w:t>
            </w:r>
          </w:p>
        </w:tc>
        <w:tc>
          <w:tcPr>
            <w:tcW w:w="1378"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rsidP="00C63FCD">
            <w:pPr>
              <w:tabs>
                <w:tab w:val="left" w:pos="3015"/>
              </w:tabs>
              <w:jc w:val="center"/>
              <w:rPr>
                <w:rFonts w:ascii="Arial" w:hAnsi="Arial" w:cs="Arial"/>
                <w:b/>
                <w:bCs/>
                <w:sz w:val="24"/>
                <w:szCs w:val="24"/>
                <w:lang w:val="en-GB"/>
              </w:rPr>
            </w:pPr>
            <w:r>
              <w:rPr>
                <w:rFonts w:ascii="Arial" w:hAnsi="Arial" w:cs="Arial"/>
                <w:b/>
                <w:bCs/>
                <w:lang w:val="en-GB"/>
              </w:rPr>
              <w:t>201</w:t>
            </w:r>
            <w:r w:rsidR="00C63FCD">
              <w:rPr>
                <w:rFonts w:ascii="Arial" w:hAnsi="Arial" w:cs="Arial"/>
                <w:b/>
                <w:bCs/>
                <w:lang w:val="en-GB"/>
              </w:rPr>
              <w:t>9</w:t>
            </w:r>
          </w:p>
        </w:tc>
      </w:tr>
      <w:tr w:rsidR="00FC05CD" w:rsidTr="00FC05CD">
        <w:tc>
          <w:tcPr>
            <w:tcW w:w="2739"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both"/>
              <w:rPr>
                <w:rFonts w:ascii="Arial" w:hAnsi="Arial" w:cs="Arial"/>
                <w:sz w:val="24"/>
                <w:szCs w:val="24"/>
                <w:lang w:val="en-GB"/>
              </w:rPr>
            </w:pPr>
            <w:r>
              <w:rPr>
                <w:rFonts w:ascii="Arial" w:hAnsi="Arial" w:cs="Arial"/>
                <w:lang w:val="en-GB"/>
              </w:rPr>
              <w:t>CAT. A</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1</w:t>
            </w:r>
          </w:p>
        </w:tc>
      </w:tr>
      <w:tr w:rsidR="00FC05CD" w:rsidTr="00FC05CD">
        <w:tc>
          <w:tcPr>
            <w:tcW w:w="2739"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both"/>
              <w:rPr>
                <w:rFonts w:ascii="Arial" w:hAnsi="Arial" w:cs="Arial"/>
                <w:sz w:val="24"/>
                <w:szCs w:val="24"/>
                <w:lang w:val="en-GB"/>
              </w:rPr>
            </w:pPr>
            <w:r>
              <w:rPr>
                <w:rFonts w:ascii="Arial" w:hAnsi="Arial" w:cs="Arial"/>
                <w:lang w:val="en-GB"/>
              </w:rPr>
              <w:t>CAT. B</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3</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3</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3</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3</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lang w:val="en-GB"/>
              </w:rPr>
            </w:pPr>
            <w:r>
              <w:rPr>
                <w:rFonts w:ascii="Arial" w:hAnsi="Arial" w:cs="Arial"/>
                <w:lang w:val="en-GB"/>
              </w:rPr>
              <w:t>3</w:t>
            </w:r>
          </w:p>
        </w:tc>
      </w:tr>
      <w:tr w:rsidR="00FC05CD" w:rsidTr="00FC05CD">
        <w:tc>
          <w:tcPr>
            <w:tcW w:w="2739"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both"/>
              <w:rPr>
                <w:rFonts w:ascii="Arial" w:hAnsi="Arial" w:cs="Arial"/>
                <w:sz w:val="24"/>
                <w:szCs w:val="24"/>
                <w:lang w:val="en-GB"/>
              </w:rPr>
            </w:pPr>
            <w:r>
              <w:rPr>
                <w:rFonts w:ascii="Arial" w:hAnsi="Arial" w:cs="Arial"/>
                <w:lang w:val="en-GB"/>
              </w:rPr>
              <w:t>CAT. C</w:t>
            </w:r>
          </w:p>
        </w:tc>
        <w:tc>
          <w:tcPr>
            <w:tcW w:w="1378" w:type="dxa"/>
            <w:tcBorders>
              <w:top w:val="single" w:sz="4" w:space="0" w:color="auto"/>
              <w:left w:val="single" w:sz="4" w:space="0" w:color="auto"/>
              <w:bottom w:val="single" w:sz="4" w:space="0" w:color="auto"/>
              <w:right w:val="single" w:sz="4" w:space="0" w:color="auto"/>
            </w:tcBorders>
          </w:tcPr>
          <w:p w:rsidR="00FC05CD" w:rsidRDefault="00FC05CD">
            <w:pPr>
              <w:tabs>
                <w:tab w:val="left" w:pos="3015"/>
              </w:tabs>
              <w:jc w:val="center"/>
              <w:rPr>
                <w:rFonts w:ascii="Arial" w:hAnsi="Arial" w:cs="Arial"/>
                <w:sz w:val="24"/>
                <w:szCs w:val="24"/>
                <w:lang w:val="en-GB"/>
              </w:rPr>
            </w:pPr>
          </w:p>
        </w:tc>
        <w:tc>
          <w:tcPr>
            <w:tcW w:w="1378" w:type="dxa"/>
            <w:tcBorders>
              <w:top w:val="single" w:sz="4" w:space="0" w:color="auto"/>
              <w:left w:val="single" w:sz="4" w:space="0" w:color="auto"/>
              <w:bottom w:val="single" w:sz="4" w:space="0" w:color="auto"/>
              <w:right w:val="single" w:sz="4" w:space="0" w:color="auto"/>
            </w:tcBorders>
          </w:tcPr>
          <w:p w:rsidR="00FC05CD" w:rsidRDefault="00FC05CD">
            <w:pPr>
              <w:tabs>
                <w:tab w:val="left" w:pos="3015"/>
              </w:tabs>
              <w:jc w:val="center"/>
              <w:rPr>
                <w:rFonts w:ascii="Arial" w:hAnsi="Arial" w:cs="Arial"/>
                <w:sz w:val="24"/>
                <w:szCs w:val="24"/>
                <w:lang w:val="en-GB"/>
              </w:rPr>
            </w:pPr>
          </w:p>
        </w:tc>
        <w:tc>
          <w:tcPr>
            <w:tcW w:w="1378" w:type="dxa"/>
            <w:tcBorders>
              <w:top w:val="single" w:sz="4" w:space="0" w:color="auto"/>
              <w:left w:val="single" w:sz="4" w:space="0" w:color="auto"/>
              <w:bottom w:val="single" w:sz="4" w:space="0" w:color="auto"/>
              <w:right w:val="single" w:sz="4" w:space="0" w:color="auto"/>
            </w:tcBorders>
          </w:tcPr>
          <w:p w:rsidR="00FC05CD" w:rsidRDefault="00FC05CD">
            <w:pPr>
              <w:tabs>
                <w:tab w:val="left" w:pos="3015"/>
              </w:tabs>
              <w:jc w:val="center"/>
              <w:rPr>
                <w:rFonts w:ascii="Arial" w:hAnsi="Arial" w:cs="Arial"/>
                <w:sz w:val="24"/>
                <w:szCs w:val="24"/>
                <w:lang w:val="en-GB"/>
              </w:rPr>
            </w:pPr>
          </w:p>
        </w:tc>
        <w:tc>
          <w:tcPr>
            <w:tcW w:w="1378" w:type="dxa"/>
            <w:tcBorders>
              <w:top w:val="single" w:sz="4" w:space="0" w:color="auto"/>
              <w:left w:val="single" w:sz="4" w:space="0" w:color="auto"/>
              <w:bottom w:val="single" w:sz="4" w:space="0" w:color="auto"/>
              <w:right w:val="single" w:sz="4" w:space="0" w:color="auto"/>
            </w:tcBorders>
          </w:tcPr>
          <w:p w:rsidR="00FC05CD" w:rsidRDefault="00FC05CD">
            <w:pPr>
              <w:tabs>
                <w:tab w:val="left" w:pos="3015"/>
              </w:tabs>
              <w:jc w:val="center"/>
              <w:rPr>
                <w:rFonts w:ascii="Arial" w:hAnsi="Arial" w:cs="Arial"/>
                <w:sz w:val="24"/>
                <w:szCs w:val="24"/>
                <w:lang w:val="en-GB"/>
              </w:rPr>
            </w:pPr>
          </w:p>
        </w:tc>
        <w:tc>
          <w:tcPr>
            <w:tcW w:w="1378" w:type="dxa"/>
            <w:tcBorders>
              <w:top w:val="single" w:sz="4" w:space="0" w:color="auto"/>
              <w:left w:val="single" w:sz="4" w:space="0" w:color="auto"/>
              <w:bottom w:val="single" w:sz="4" w:space="0" w:color="auto"/>
              <w:right w:val="single" w:sz="4" w:space="0" w:color="auto"/>
            </w:tcBorders>
          </w:tcPr>
          <w:p w:rsidR="00FC05CD" w:rsidRDefault="00FC05CD">
            <w:pPr>
              <w:tabs>
                <w:tab w:val="left" w:pos="3015"/>
              </w:tabs>
              <w:jc w:val="center"/>
              <w:rPr>
                <w:rFonts w:ascii="Arial" w:hAnsi="Arial" w:cs="Arial"/>
                <w:sz w:val="24"/>
                <w:szCs w:val="24"/>
                <w:lang w:val="en-GB"/>
              </w:rPr>
            </w:pPr>
          </w:p>
        </w:tc>
      </w:tr>
      <w:tr w:rsidR="00FC05CD" w:rsidTr="00FC05CD">
        <w:tc>
          <w:tcPr>
            <w:tcW w:w="2739"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both"/>
              <w:rPr>
                <w:rFonts w:ascii="Arial" w:hAnsi="Arial" w:cs="Arial"/>
                <w:sz w:val="24"/>
                <w:szCs w:val="24"/>
                <w:lang w:val="en-GB"/>
              </w:rPr>
            </w:pPr>
            <w:r>
              <w:rPr>
                <w:rFonts w:ascii="Arial" w:hAnsi="Arial" w:cs="Arial"/>
                <w:lang w:val="en-GB"/>
              </w:rPr>
              <w:t>CAT. D</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1</w:t>
            </w:r>
          </w:p>
        </w:tc>
      </w:tr>
      <w:tr w:rsidR="00FC05CD" w:rsidTr="00FC05CD">
        <w:tc>
          <w:tcPr>
            <w:tcW w:w="2739"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both"/>
              <w:rPr>
                <w:rFonts w:ascii="Arial" w:hAnsi="Arial" w:cs="Arial"/>
                <w:sz w:val="24"/>
                <w:szCs w:val="24"/>
              </w:rPr>
            </w:pPr>
            <w:r>
              <w:rPr>
                <w:rFonts w:ascii="Arial" w:hAnsi="Arial" w:cs="Arial"/>
              </w:rPr>
              <w:t>DIRIGENTI</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0</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0</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0</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0</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0</w:t>
            </w:r>
          </w:p>
        </w:tc>
      </w:tr>
      <w:tr w:rsidR="00FC05CD" w:rsidTr="00FC05CD">
        <w:tc>
          <w:tcPr>
            <w:tcW w:w="2739"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right"/>
              <w:rPr>
                <w:rFonts w:ascii="Arial" w:hAnsi="Arial" w:cs="Arial"/>
                <w:sz w:val="24"/>
                <w:szCs w:val="24"/>
              </w:rPr>
            </w:pPr>
            <w:r>
              <w:rPr>
                <w:rFonts w:ascii="Arial" w:hAnsi="Arial" w:cs="Arial"/>
              </w:rPr>
              <w:t>TOTALE</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5</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5</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5</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5</w:t>
            </w:r>
          </w:p>
        </w:tc>
        <w:tc>
          <w:tcPr>
            <w:tcW w:w="1378" w:type="dxa"/>
            <w:tcBorders>
              <w:top w:val="single" w:sz="4" w:space="0" w:color="auto"/>
              <w:left w:val="single" w:sz="4" w:space="0" w:color="auto"/>
              <w:bottom w:val="single" w:sz="4" w:space="0" w:color="auto"/>
              <w:right w:val="single" w:sz="4" w:space="0" w:color="auto"/>
            </w:tcBorders>
            <w:hideMark/>
          </w:tcPr>
          <w:p w:rsidR="00FC05CD" w:rsidRDefault="00FC05CD">
            <w:pPr>
              <w:tabs>
                <w:tab w:val="left" w:pos="3015"/>
              </w:tabs>
              <w:jc w:val="center"/>
              <w:rPr>
                <w:rFonts w:ascii="Arial" w:hAnsi="Arial" w:cs="Arial"/>
                <w:sz w:val="24"/>
                <w:szCs w:val="24"/>
              </w:rPr>
            </w:pPr>
            <w:r>
              <w:rPr>
                <w:rFonts w:ascii="Arial" w:hAnsi="Arial" w:cs="Arial"/>
              </w:rPr>
              <w:t>3</w:t>
            </w:r>
          </w:p>
        </w:tc>
      </w:tr>
    </w:tbl>
    <w:p w:rsidR="00FC05CD" w:rsidRDefault="00FC05CD" w:rsidP="00FC05CD">
      <w:pPr>
        <w:pStyle w:val="Rientrocorpodeltesto2"/>
      </w:pPr>
    </w:p>
    <w:p w:rsidR="00136476" w:rsidRDefault="00136476" w:rsidP="00FC05CD">
      <w:pPr>
        <w:pStyle w:val="Rientrocorpodeltesto2"/>
      </w:pPr>
      <w:r>
        <w:t>CRITICITA' NELLA GESTIONE</w:t>
      </w:r>
    </w:p>
    <w:p w:rsidR="00136476" w:rsidRPr="007D5154" w:rsidRDefault="00136476" w:rsidP="00136476">
      <w:pPr>
        <w:pStyle w:val="Corpotesto"/>
        <w:rPr>
          <w:rFonts w:ascii="Book Antiqua" w:hAnsi="Book Antiqua"/>
          <w:b/>
          <w:sz w:val="24"/>
          <w:szCs w:val="24"/>
        </w:rPr>
      </w:pPr>
      <w:r w:rsidRPr="007D5154">
        <w:rPr>
          <w:rFonts w:ascii="Book Antiqua" w:hAnsi="Book Antiqua"/>
          <w:b/>
          <w:sz w:val="24"/>
          <w:szCs w:val="24"/>
        </w:rPr>
        <w:t xml:space="preserve">NEL SETTORE AMMINISTRATIVO le criticità riscontrate sono legate alla continua evoluzione della normativa in materia di stato civile anagrafe elettorale con conseguente aggravio di lavoro da fronteggiare con risorse umane e finanziarie sempre più ridotte.  questa situazione è stata fronteggiata con un maggiore apporto di ore di lavoro da parte del responsabile del servizio CAT . D  e dell'unità di </w:t>
      </w:r>
      <w:proofErr w:type="spellStart"/>
      <w:r w:rsidRPr="007D5154">
        <w:rPr>
          <w:rFonts w:ascii="Book Antiqua" w:hAnsi="Book Antiqua"/>
          <w:b/>
          <w:sz w:val="24"/>
          <w:szCs w:val="24"/>
        </w:rPr>
        <w:t>CAT</w:t>
      </w:r>
      <w:proofErr w:type="spellEnd"/>
      <w:r w:rsidRPr="007D5154">
        <w:rPr>
          <w:rFonts w:ascii="Book Antiqua" w:hAnsi="Book Antiqua"/>
          <w:b/>
          <w:sz w:val="24"/>
          <w:szCs w:val="24"/>
        </w:rPr>
        <w:t>. B addetta al servizio amministrativo.</w:t>
      </w:r>
    </w:p>
    <w:p w:rsidR="00136476" w:rsidRPr="007D5154" w:rsidRDefault="00136476" w:rsidP="00136476">
      <w:pPr>
        <w:pStyle w:val="Corpotesto"/>
        <w:rPr>
          <w:rFonts w:ascii="Book Antiqua" w:hAnsi="Book Antiqua"/>
          <w:b/>
          <w:sz w:val="24"/>
          <w:szCs w:val="24"/>
        </w:rPr>
      </w:pPr>
      <w:r w:rsidRPr="007D5154">
        <w:rPr>
          <w:rFonts w:ascii="Book Antiqua" w:hAnsi="Book Antiqua"/>
          <w:b/>
          <w:sz w:val="24"/>
          <w:szCs w:val="24"/>
        </w:rPr>
        <w:t xml:space="preserve">NEL SETTORE FINANZIARIO le criticità riscontrate sono legate alla continua evoluzione delle normative in materia finanziaria che hanno comportato un maggiore aggravio di lavoro che comunque è stato fronteggiato con un maggiore apporto di ore lavorative da parte della sola unità addetta </w:t>
      </w:r>
      <w:proofErr w:type="spellStart"/>
      <w:r w:rsidRPr="007D5154">
        <w:rPr>
          <w:rFonts w:ascii="Book Antiqua" w:hAnsi="Book Antiqua"/>
          <w:b/>
          <w:sz w:val="24"/>
          <w:szCs w:val="24"/>
        </w:rPr>
        <w:t>Cat</w:t>
      </w:r>
      <w:proofErr w:type="spellEnd"/>
      <w:r w:rsidRPr="007D5154">
        <w:rPr>
          <w:rFonts w:ascii="Book Antiqua" w:hAnsi="Book Antiqua"/>
          <w:b/>
          <w:sz w:val="24"/>
          <w:szCs w:val="24"/>
        </w:rPr>
        <w:t xml:space="preserve"> D in convenzione con il Comune di </w:t>
      </w:r>
      <w:proofErr w:type="spellStart"/>
      <w:r w:rsidRPr="007D5154">
        <w:rPr>
          <w:rFonts w:ascii="Book Antiqua" w:hAnsi="Book Antiqua"/>
          <w:b/>
          <w:sz w:val="24"/>
          <w:szCs w:val="24"/>
        </w:rPr>
        <w:t>Vacone</w:t>
      </w:r>
      <w:proofErr w:type="spellEnd"/>
      <w:r w:rsidRPr="007D5154">
        <w:rPr>
          <w:rFonts w:ascii="Book Antiqua" w:hAnsi="Book Antiqua"/>
          <w:b/>
          <w:sz w:val="24"/>
          <w:szCs w:val="24"/>
        </w:rPr>
        <w:t xml:space="preserve"> a 18 ore( naturalmente il responsabile del servizio ha espletato un numero di ore settimanali in media di 24 ore). </w:t>
      </w:r>
    </w:p>
    <w:p w:rsidR="00136476" w:rsidRPr="007D5154" w:rsidRDefault="00136476" w:rsidP="00136476">
      <w:pPr>
        <w:pStyle w:val="Corpotesto"/>
        <w:rPr>
          <w:rFonts w:ascii="Book Antiqua" w:hAnsi="Book Antiqua"/>
          <w:sz w:val="24"/>
          <w:szCs w:val="24"/>
        </w:rPr>
      </w:pPr>
      <w:r w:rsidRPr="007D5154">
        <w:rPr>
          <w:rFonts w:ascii="Book Antiqua" w:hAnsi="Book Antiqua"/>
          <w:sz w:val="24"/>
          <w:szCs w:val="24"/>
        </w:rPr>
        <w:t>IL SETTORE VIGILANZA non ha riscontrato alcuna criticità.</w:t>
      </w:r>
    </w:p>
    <w:p w:rsidR="00136476" w:rsidRPr="007D5154" w:rsidRDefault="00136476" w:rsidP="00136476">
      <w:pPr>
        <w:pStyle w:val="Corpotesto"/>
        <w:rPr>
          <w:rFonts w:ascii="Book Antiqua" w:hAnsi="Book Antiqua"/>
          <w:sz w:val="24"/>
          <w:szCs w:val="24"/>
        </w:rPr>
      </w:pPr>
      <w:r w:rsidRPr="007D5154">
        <w:rPr>
          <w:rFonts w:ascii="Book Antiqua" w:hAnsi="Book Antiqua"/>
          <w:sz w:val="24"/>
          <w:szCs w:val="24"/>
        </w:rPr>
        <w:t xml:space="preserve">NEL SETTORE TECNICO le criticità sono legate alla continua evoluzione della legislazione in materia con continuo adeguamento delle procedure e modalità di espletamento delle gare. Se si tiene conto che il responsabile  presta servizio per sole SEI ORE SETTIMANALI si può ben capire quali siano le criticità che sono state fronteggiate con un maggiore impegno da parte del responsabile </w:t>
      </w:r>
      <w:proofErr w:type="spellStart"/>
      <w:r w:rsidRPr="007D5154">
        <w:rPr>
          <w:rFonts w:ascii="Book Antiqua" w:hAnsi="Book Antiqua"/>
          <w:sz w:val="24"/>
          <w:szCs w:val="24"/>
        </w:rPr>
        <w:t>CAT</w:t>
      </w:r>
      <w:proofErr w:type="spellEnd"/>
      <w:r w:rsidRPr="007D5154">
        <w:rPr>
          <w:rFonts w:ascii="Book Antiqua" w:hAnsi="Book Antiqua"/>
          <w:sz w:val="24"/>
          <w:szCs w:val="24"/>
        </w:rPr>
        <w:t>. D e dell' unità addetta per n. 20 ore.</w:t>
      </w:r>
    </w:p>
    <w:p w:rsidR="00136476" w:rsidRPr="007D5154" w:rsidRDefault="00136476" w:rsidP="00136476">
      <w:pPr>
        <w:pStyle w:val="Corpotesto"/>
        <w:rPr>
          <w:rFonts w:ascii="Book Antiqua" w:hAnsi="Book Antiqua"/>
          <w:b/>
          <w:sz w:val="24"/>
          <w:szCs w:val="24"/>
        </w:rPr>
      </w:pPr>
    </w:p>
    <w:p w:rsidR="00FC05CD" w:rsidRDefault="00FC05CD" w:rsidP="00FC05CD">
      <w:pPr>
        <w:jc w:val="both"/>
        <w:rPr>
          <w:rFonts w:ascii="Arial" w:hAnsi="Arial" w:cs="Arial"/>
        </w:rPr>
      </w:pPr>
    </w:p>
    <w:p w:rsidR="00E5210D" w:rsidRDefault="00E5210D" w:rsidP="00E5210D">
      <w:pPr>
        <w:pStyle w:val="Corpotesto"/>
        <w:rPr>
          <w:rFonts w:ascii="Book Antiqua" w:hAnsi="Book Antiqua"/>
          <w:b/>
          <w:szCs w:val="24"/>
        </w:rPr>
      </w:pPr>
    </w:p>
    <w:p w:rsidR="00E5210D" w:rsidRDefault="00E5210D" w:rsidP="00E5210D">
      <w:pPr>
        <w:pStyle w:val="Corpotesto"/>
        <w:rPr>
          <w:rFonts w:ascii="Book Antiqua" w:hAnsi="Book Antiqua"/>
          <w:b/>
          <w:szCs w:val="24"/>
        </w:rPr>
      </w:pPr>
    </w:p>
    <w:p w:rsidR="00E5210D" w:rsidRDefault="00E5210D" w:rsidP="00E5210D">
      <w:pPr>
        <w:pStyle w:val="Corpotesto"/>
        <w:rPr>
          <w:rFonts w:ascii="Book Antiqua" w:hAnsi="Book Antiqua"/>
          <w:b/>
          <w:szCs w:val="24"/>
        </w:rPr>
      </w:pPr>
    </w:p>
    <w:p w:rsidR="00E5210D" w:rsidRDefault="00E5210D" w:rsidP="00E5210D">
      <w:pPr>
        <w:pStyle w:val="Corpotesto"/>
        <w:rPr>
          <w:rFonts w:ascii="Book Antiqua" w:hAnsi="Book Antiqua"/>
          <w:b/>
          <w:szCs w:val="24"/>
        </w:rPr>
      </w:pPr>
    </w:p>
    <w:p w:rsidR="00E5210D" w:rsidRPr="00A5522C" w:rsidRDefault="00E5210D" w:rsidP="00E5210D">
      <w:pPr>
        <w:pStyle w:val="Corpotesto"/>
        <w:rPr>
          <w:rFonts w:ascii="Book Antiqua" w:hAnsi="Book Antiqua"/>
          <w:b/>
          <w:szCs w:val="24"/>
        </w:rPr>
      </w:pPr>
      <w:r w:rsidRPr="00A5522C">
        <w:rPr>
          <w:rFonts w:ascii="Book Antiqua" w:hAnsi="Book Antiqua"/>
          <w:b/>
          <w:szCs w:val="24"/>
        </w:rPr>
        <w:lastRenderedPageBreak/>
        <w:t>– SITUAZIONE ECONOMICO FINANZIARIA DELL’ENTE</w:t>
      </w:r>
      <w:r>
        <w:rPr>
          <w:rFonts w:ascii="Book Antiqua" w:hAnsi="Book Antiqua"/>
          <w:b/>
          <w:szCs w:val="24"/>
        </w:rPr>
        <w:t xml:space="preserve"> </w:t>
      </w:r>
    </w:p>
    <w:p w:rsidR="00E5210D" w:rsidRDefault="00E5210D" w:rsidP="00E5210D">
      <w:pPr>
        <w:pStyle w:val="Corpotesto"/>
        <w:rPr>
          <w:rFonts w:ascii="Book Antiqua" w:hAnsi="Book Antiqua"/>
          <w:b/>
          <w:szCs w:val="24"/>
        </w:rPr>
      </w:pPr>
      <w:r w:rsidRPr="00A5522C">
        <w:rPr>
          <w:rFonts w:ascii="Book Antiqua" w:hAnsi="Book Antiqua"/>
          <w:b/>
          <w:szCs w:val="24"/>
        </w:rPr>
        <w:t>Sintesi dei dati finanziari a consuntivo del bilancio dell’ente:</w:t>
      </w:r>
    </w:p>
    <w:p w:rsidR="00E5210D" w:rsidRDefault="00E5210D" w:rsidP="00E5210D">
      <w:pPr>
        <w:pStyle w:val="Corpotesto"/>
        <w:rPr>
          <w:rFonts w:ascii="Book Antiqua" w:hAnsi="Book Antiqua"/>
          <w:b/>
          <w:szCs w:val="24"/>
        </w:rPr>
      </w:pPr>
    </w:p>
    <w:p w:rsidR="00E5210D" w:rsidRDefault="00E5210D" w:rsidP="00E5210D">
      <w:pPr>
        <w:pStyle w:val="Corpotesto"/>
        <w:rPr>
          <w:rFonts w:ascii="Book Antiqua" w:hAnsi="Book Antiqua"/>
          <w:b/>
          <w:szCs w:val="24"/>
        </w:rPr>
      </w:pPr>
    </w:p>
    <w:tbl>
      <w:tblPr>
        <w:tblW w:w="8460" w:type="dxa"/>
        <w:tblInd w:w="55" w:type="dxa"/>
        <w:tblCellMar>
          <w:left w:w="70" w:type="dxa"/>
          <w:right w:w="70" w:type="dxa"/>
        </w:tblCellMar>
        <w:tblLook w:val="04A0"/>
      </w:tblPr>
      <w:tblGrid>
        <w:gridCol w:w="1228"/>
        <w:gridCol w:w="1212"/>
        <w:gridCol w:w="1212"/>
        <w:gridCol w:w="1225"/>
        <w:gridCol w:w="1087"/>
        <w:gridCol w:w="1087"/>
        <w:gridCol w:w="1409"/>
      </w:tblGrid>
      <w:tr w:rsidR="00E5210D" w:rsidRPr="009B1F34" w:rsidTr="004B7A6C">
        <w:trPr>
          <w:trHeight w:val="1140"/>
        </w:trPr>
        <w:tc>
          <w:tcPr>
            <w:tcW w:w="1338"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E5210D" w:rsidRPr="009B1F34" w:rsidRDefault="00E5210D" w:rsidP="004B7A6C">
            <w:pPr>
              <w:spacing w:after="0" w:line="240" w:lineRule="auto"/>
              <w:jc w:val="center"/>
              <w:rPr>
                <w:rFonts w:ascii="Book Antiqua" w:hAnsi="Book Antiqua" w:cs="Arial"/>
                <w:b/>
                <w:bCs/>
                <w:sz w:val="18"/>
                <w:szCs w:val="18"/>
              </w:rPr>
            </w:pPr>
            <w:r w:rsidRPr="009B1F34">
              <w:rPr>
                <w:rFonts w:ascii="Book Antiqua" w:hAnsi="Book Antiqua" w:cs="Arial"/>
                <w:b/>
                <w:bCs/>
                <w:sz w:val="18"/>
                <w:szCs w:val="18"/>
              </w:rPr>
              <w:t xml:space="preserve">ENTRATE E SPESE </w:t>
            </w:r>
          </w:p>
        </w:tc>
        <w:tc>
          <w:tcPr>
            <w:tcW w:w="1212" w:type="dxa"/>
            <w:tcBorders>
              <w:top w:val="single" w:sz="4" w:space="0" w:color="auto"/>
              <w:left w:val="nil"/>
              <w:bottom w:val="single" w:sz="4" w:space="0" w:color="auto"/>
              <w:right w:val="single" w:sz="4" w:space="0" w:color="auto"/>
            </w:tcBorders>
            <w:shd w:val="clear" w:color="000000" w:fill="FFCC99"/>
            <w:vAlign w:val="bottom"/>
            <w:hideMark/>
          </w:tcPr>
          <w:p w:rsidR="00E5210D" w:rsidRPr="009B1F34" w:rsidRDefault="00E5210D" w:rsidP="004B7A6C">
            <w:pPr>
              <w:spacing w:after="0" w:line="240" w:lineRule="auto"/>
              <w:jc w:val="center"/>
              <w:rPr>
                <w:rFonts w:ascii="Book Antiqua" w:hAnsi="Book Antiqua" w:cs="Arial"/>
                <w:b/>
                <w:bCs/>
                <w:sz w:val="18"/>
                <w:szCs w:val="18"/>
              </w:rPr>
            </w:pPr>
            <w:r w:rsidRPr="009B1F34">
              <w:rPr>
                <w:rFonts w:ascii="Book Antiqua" w:hAnsi="Book Antiqua" w:cs="Arial"/>
                <w:b/>
                <w:bCs/>
                <w:sz w:val="18"/>
                <w:szCs w:val="18"/>
              </w:rPr>
              <w:t>2014</w:t>
            </w:r>
          </w:p>
        </w:tc>
        <w:tc>
          <w:tcPr>
            <w:tcW w:w="1212" w:type="dxa"/>
            <w:tcBorders>
              <w:top w:val="single" w:sz="4" w:space="0" w:color="auto"/>
              <w:left w:val="nil"/>
              <w:bottom w:val="single" w:sz="4" w:space="0" w:color="auto"/>
              <w:right w:val="single" w:sz="4" w:space="0" w:color="auto"/>
            </w:tcBorders>
            <w:shd w:val="clear" w:color="000000" w:fill="FFCC99"/>
            <w:vAlign w:val="bottom"/>
            <w:hideMark/>
          </w:tcPr>
          <w:p w:rsidR="00E5210D" w:rsidRPr="009B1F34" w:rsidRDefault="00E5210D" w:rsidP="004B7A6C">
            <w:pPr>
              <w:spacing w:after="0" w:line="240" w:lineRule="auto"/>
              <w:jc w:val="center"/>
              <w:rPr>
                <w:rFonts w:ascii="Book Antiqua" w:hAnsi="Book Antiqua" w:cs="Arial"/>
                <w:b/>
                <w:bCs/>
                <w:sz w:val="18"/>
                <w:szCs w:val="18"/>
              </w:rPr>
            </w:pPr>
            <w:r w:rsidRPr="009B1F34">
              <w:rPr>
                <w:rFonts w:ascii="Book Antiqua" w:hAnsi="Book Antiqua" w:cs="Arial"/>
                <w:b/>
                <w:bCs/>
                <w:sz w:val="18"/>
                <w:szCs w:val="18"/>
              </w:rPr>
              <w:t>2015</w:t>
            </w:r>
          </w:p>
        </w:tc>
        <w:tc>
          <w:tcPr>
            <w:tcW w:w="1225" w:type="dxa"/>
            <w:tcBorders>
              <w:top w:val="single" w:sz="4" w:space="0" w:color="auto"/>
              <w:left w:val="nil"/>
              <w:bottom w:val="single" w:sz="4" w:space="0" w:color="auto"/>
              <w:right w:val="single" w:sz="4" w:space="0" w:color="auto"/>
            </w:tcBorders>
            <w:shd w:val="clear" w:color="000000" w:fill="FFCC99"/>
            <w:vAlign w:val="bottom"/>
            <w:hideMark/>
          </w:tcPr>
          <w:p w:rsidR="00E5210D" w:rsidRPr="009B1F34" w:rsidRDefault="00E5210D" w:rsidP="004B7A6C">
            <w:pPr>
              <w:spacing w:after="0" w:line="240" w:lineRule="auto"/>
              <w:jc w:val="center"/>
              <w:rPr>
                <w:rFonts w:ascii="Book Antiqua" w:hAnsi="Book Antiqua" w:cs="Arial"/>
                <w:b/>
                <w:bCs/>
                <w:sz w:val="18"/>
                <w:szCs w:val="18"/>
              </w:rPr>
            </w:pPr>
            <w:r w:rsidRPr="009B1F34">
              <w:rPr>
                <w:rFonts w:ascii="Book Antiqua" w:hAnsi="Book Antiqua" w:cs="Arial"/>
                <w:b/>
                <w:bCs/>
                <w:sz w:val="18"/>
                <w:szCs w:val="18"/>
              </w:rPr>
              <w:t>2016</w:t>
            </w:r>
          </w:p>
        </w:tc>
        <w:tc>
          <w:tcPr>
            <w:tcW w:w="1087" w:type="dxa"/>
            <w:tcBorders>
              <w:top w:val="single" w:sz="4" w:space="0" w:color="auto"/>
              <w:left w:val="nil"/>
              <w:bottom w:val="single" w:sz="4" w:space="0" w:color="auto"/>
              <w:right w:val="single" w:sz="4" w:space="0" w:color="auto"/>
            </w:tcBorders>
            <w:shd w:val="clear" w:color="000000" w:fill="FFCC99"/>
            <w:vAlign w:val="bottom"/>
            <w:hideMark/>
          </w:tcPr>
          <w:p w:rsidR="00E5210D" w:rsidRPr="009B1F34" w:rsidRDefault="00E5210D" w:rsidP="004B7A6C">
            <w:pPr>
              <w:spacing w:after="0" w:line="240" w:lineRule="auto"/>
              <w:jc w:val="center"/>
              <w:rPr>
                <w:rFonts w:ascii="Book Antiqua" w:hAnsi="Book Antiqua" w:cs="Arial"/>
                <w:b/>
                <w:bCs/>
                <w:sz w:val="18"/>
                <w:szCs w:val="18"/>
              </w:rPr>
            </w:pPr>
            <w:r w:rsidRPr="009B1F34">
              <w:rPr>
                <w:rFonts w:ascii="Book Antiqua" w:hAnsi="Book Antiqua" w:cs="Arial"/>
                <w:b/>
                <w:bCs/>
                <w:sz w:val="18"/>
                <w:szCs w:val="18"/>
              </w:rPr>
              <w:t>2017</w:t>
            </w:r>
          </w:p>
        </w:tc>
        <w:tc>
          <w:tcPr>
            <w:tcW w:w="1087" w:type="dxa"/>
            <w:tcBorders>
              <w:top w:val="single" w:sz="4" w:space="0" w:color="auto"/>
              <w:left w:val="nil"/>
              <w:bottom w:val="single" w:sz="4" w:space="0" w:color="auto"/>
              <w:right w:val="single" w:sz="4" w:space="0" w:color="auto"/>
            </w:tcBorders>
            <w:shd w:val="clear" w:color="000000" w:fill="FFCC99"/>
            <w:vAlign w:val="bottom"/>
            <w:hideMark/>
          </w:tcPr>
          <w:p w:rsidR="00E5210D" w:rsidRPr="009B1F34" w:rsidRDefault="00E5210D" w:rsidP="004B7A6C">
            <w:pPr>
              <w:spacing w:after="0" w:line="240" w:lineRule="auto"/>
              <w:jc w:val="center"/>
              <w:rPr>
                <w:rFonts w:ascii="Book Antiqua" w:hAnsi="Book Antiqua" w:cs="Arial"/>
                <w:b/>
                <w:bCs/>
                <w:sz w:val="18"/>
                <w:szCs w:val="18"/>
              </w:rPr>
            </w:pPr>
            <w:r w:rsidRPr="009B1F34">
              <w:rPr>
                <w:rFonts w:ascii="Book Antiqua" w:hAnsi="Book Antiqua" w:cs="Arial"/>
                <w:b/>
                <w:bCs/>
                <w:sz w:val="18"/>
                <w:szCs w:val="18"/>
              </w:rPr>
              <w:t>2018</w:t>
            </w:r>
          </w:p>
        </w:tc>
        <w:tc>
          <w:tcPr>
            <w:tcW w:w="1299" w:type="dxa"/>
            <w:tcBorders>
              <w:top w:val="single" w:sz="4" w:space="0" w:color="auto"/>
              <w:left w:val="nil"/>
              <w:bottom w:val="single" w:sz="4" w:space="0" w:color="auto"/>
              <w:right w:val="single" w:sz="4" w:space="0" w:color="auto"/>
            </w:tcBorders>
            <w:shd w:val="clear" w:color="000000" w:fill="FFCC99"/>
            <w:vAlign w:val="bottom"/>
            <w:hideMark/>
          </w:tcPr>
          <w:p w:rsidR="00E5210D" w:rsidRPr="009B1F34" w:rsidRDefault="00E5210D" w:rsidP="004B7A6C">
            <w:pPr>
              <w:spacing w:after="0" w:line="240" w:lineRule="auto"/>
              <w:jc w:val="center"/>
              <w:rPr>
                <w:rFonts w:ascii="Book Antiqua" w:hAnsi="Book Antiqua" w:cs="Arial"/>
                <w:b/>
                <w:bCs/>
                <w:sz w:val="18"/>
                <w:szCs w:val="18"/>
              </w:rPr>
            </w:pPr>
            <w:r w:rsidRPr="009B1F34">
              <w:rPr>
                <w:rFonts w:ascii="Book Antiqua" w:hAnsi="Book Antiqua" w:cs="Arial"/>
                <w:b/>
                <w:bCs/>
                <w:sz w:val="18"/>
                <w:szCs w:val="18"/>
              </w:rPr>
              <w:t xml:space="preserve">% </w:t>
            </w:r>
            <w:proofErr w:type="spellStart"/>
            <w:r w:rsidRPr="009B1F34">
              <w:rPr>
                <w:rFonts w:ascii="Book Antiqua" w:hAnsi="Book Antiqua" w:cs="Arial"/>
                <w:b/>
                <w:bCs/>
                <w:sz w:val="18"/>
                <w:szCs w:val="18"/>
              </w:rPr>
              <w:t>decrem</w:t>
            </w:r>
            <w:proofErr w:type="spellEnd"/>
            <w:r w:rsidRPr="009B1F34">
              <w:rPr>
                <w:rFonts w:ascii="Book Antiqua" w:hAnsi="Book Antiqua" w:cs="Arial"/>
                <w:b/>
                <w:bCs/>
                <w:sz w:val="18"/>
                <w:szCs w:val="18"/>
              </w:rPr>
              <w:t>/</w:t>
            </w:r>
            <w:proofErr w:type="spellStart"/>
            <w:r w:rsidRPr="009B1F34">
              <w:rPr>
                <w:rFonts w:ascii="Book Antiqua" w:hAnsi="Book Antiqua" w:cs="Arial"/>
                <w:b/>
                <w:bCs/>
                <w:sz w:val="18"/>
                <w:szCs w:val="18"/>
              </w:rPr>
              <w:t>increm</w:t>
            </w:r>
            <w:proofErr w:type="spellEnd"/>
            <w:r w:rsidRPr="009B1F34">
              <w:rPr>
                <w:rFonts w:ascii="Book Antiqua" w:hAnsi="Book Antiqua" w:cs="Arial"/>
                <w:b/>
                <w:bCs/>
                <w:sz w:val="18"/>
                <w:szCs w:val="18"/>
              </w:rPr>
              <w:t>. rispetto al 1° anno</w:t>
            </w:r>
          </w:p>
        </w:tc>
      </w:tr>
      <w:tr w:rsidR="00E5210D" w:rsidRPr="009B1F34" w:rsidTr="004B7A6C">
        <w:trPr>
          <w:trHeight w:val="54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Titolo 1,2,3 - Entrate correnti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760.721,92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742.284,70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633.091,59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628.721,93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635.223,49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16,50 </w:t>
            </w:r>
          </w:p>
        </w:tc>
      </w:tr>
      <w:tr w:rsidR="00E5210D" w:rsidRPr="009B1F34" w:rsidTr="004B7A6C">
        <w:trPr>
          <w:trHeight w:val="54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Titolo 4 - Entrate in conto capitale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107.030,19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122.957,55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63.236,00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24.353,49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105.106,96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1,80 </w:t>
            </w:r>
          </w:p>
        </w:tc>
      </w:tr>
      <w:tr w:rsidR="00E5210D" w:rsidRPr="009B1F34" w:rsidTr="004B7A6C">
        <w:trPr>
          <w:trHeight w:val="108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5 - Entrate da riduzione di attività finanziarie</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r>
      <w:tr w:rsidR="00E5210D" w:rsidRPr="009B1F34" w:rsidTr="004B7A6C">
        <w:trPr>
          <w:trHeight w:val="81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6 - Accensione di prestiti</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155.971,21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25.000,00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25.000,00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r>
      <w:tr w:rsidR="00E5210D" w:rsidRPr="009B1F34" w:rsidTr="004B7A6C">
        <w:trPr>
          <w:trHeight w:val="57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TOTALE ENTRATE</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867.752,11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1.021.213,46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721.327,59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678.075,42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740.330,45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14,68 </w:t>
            </w:r>
          </w:p>
        </w:tc>
      </w:tr>
      <w:tr w:rsidR="00E5210D" w:rsidRPr="009B1F34" w:rsidTr="004B7A6C">
        <w:trPr>
          <w:trHeight w:val="270"/>
        </w:trPr>
        <w:tc>
          <w:tcPr>
            <w:tcW w:w="1338" w:type="dxa"/>
            <w:tcBorders>
              <w:top w:val="nil"/>
              <w:left w:val="single" w:sz="4" w:space="0" w:color="auto"/>
              <w:bottom w:val="single" w:sz="4" w:space="0" w:color="auto"/>
              <w:right w:val="single" w:sz="4" w:space="0" w:color="auto"/>
            </w:tcBorders>
            <w:shd w:val="clear" w:color="000000" w:fill="CCFFFF"/>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212"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12"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225"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087"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087"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99"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r>
      <w:tr w:rsidR="00E5210D" w:rsidRPr="009B1F34" w:rsidTr="004B7A6C">
        <w:trPr>
          <w:trHeight w:val="54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1 - Spese correnti</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726.465,19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723.430,68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607.303,39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603.291,82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616.723,05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15,11 </w:t>
            </w:r>
          </w:p>
        </w:tc>
      </w:tr>
      <w:tr w:rsidR="00E5210D" w:rsidRPr="009B1F34" w:rsidTr="004B7A6C">
        <w:trPr>
          <w:trHeight w:val="54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2 - Spese in conto capitale</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112.030,19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131.297,55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88.236,00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49.353,49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105.106,96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6,18 </w:t>
            </w:r>
          </w:p>
        </w:tc>
      </w:tr>
      <w:tr w:rsidR="00E5210D" w:rsidRPr="009B1F34" w:rsidTr="004B7A6C">
        <w:trPr>
          <w:trHeight w:val="108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3 - Spese per incremento di attività finanziarie</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r>
      <w:tr w:rsidR="00E5210D" w:rsidRPr="009B1F34" w:rsidTr="004B7A6C">
        <w:trPr>
          <w:trHeight w:val="81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4 - Rimborso di prestiti</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21.461,22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17.415,89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9.629,18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15.195,74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18.070,00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15,80 </w:t>
            </w:r>
          </w:p>
        </w:tc>
      </w:tr>
      <w:tr w:rsidR="00E5210D" w:rsidRPr="009B1F34" w:rsidTr="004B7A6C">
        <w:trPr>
          <w:trHeight w:val="285"/>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TOTALE SPESE</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859.956,60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872.144,12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705.168,57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667.841,05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739.900,01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b/>
                <w:bCs/>
                <w:sz w:val="18"/>
                <w:szCs w:val="18"/>
              </w:rPr>
            </w:pPr>
            <w:r w:rsidRPr="009B1F34">
              <w:rPr>
                <w:rFonts w:ascii="Book Antiqua" w:hAnsi="Book Antiqua" w:cs="Arial"/>
                <w:b/>
                <w:bCs/>
                <w:sz w:val="18"/>
                <w:szCs w:val="18"/>
              </w:rPr>
              <w:t xml:space="preserve">-        13,96 </w:t>
            </w:r>
          </w:p>
        </w:tc>
      </w:tr>
      <w:tr w:rsidR="00E5210D" w:rsidRPr="009B1F34" w:rsidTr="004B7A6C">
        <w:trPr>
          <w:trHeight w:val="270"/>
        </w:trPr>
        <w:tc>
          <w:tcPr>
            <w:tcW w:w="1338" w:type="dxa"/>
            <w:tcBorders>
              <w:top w:val="nil"/>
              <w:left w:val="single" w:sz="4" w:space="0" w:color="auto"/>
              <w:bottom w:val="single" w:sz="4" w:space="0" w:color="auto"/>
              <w:right w:val="single" w:sz="4" w:space="0" w:color="auto"/>
            </w:tcBorders>
            <w:shd w:val="clear" w:color="000000" w:fill="CCFFFF"/>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212"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212"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225"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087"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087"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c>
          <w:tcPr>
            <w:tcW w:w="1299" w:type="dxa"/>
            <w:tcBorders>
              <w:top w:val="nil"/>
              <w:left w:val="nil"/>
              <w:bottom w:val="single" w:sz="4" w:space="0" w:color="auto"/>
              <w:right w:val="single" w:sz="4" w:space="0" w:color="auto"/>
            </w:tcBorders>
            <w:shd w:val="clear" w:color="000000" w:fill="CCFFFF"/>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w:t>
            </w:r>
          </w:p>
        </w:tc>
      </w:tr>
      <w:tr w:rsidR="00E5210D" w:rsidRPr="009B1F34" w:rsidTr="004B7A6C">
        <w:trPr>
          <w:trHeight w:val="81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9 - Entrate per servizi per conto terzi</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44.801,23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916.597,69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152.863,92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61.509,13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110.350,95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146,31 </w:t>
            </w:r>
          </w:p>
        </w:tc>
      </w:tr>
      <w:tr w:rsidR="00E5210D" w:rsidRPr="009B1F34" w:rsidTr="004B7A6C">
        <w:trPr>
          <w:trHeight w:val="81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Titolo 7 - Uscite per servizi per conto terzi</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44.801,23 </w:t>
            </w:r>
          </w:p>
        </w:tc>
        <w:tc>
          <w:tcPr>
            <w:tcW w:w="1212"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916.597,69 </w:t>
            </w:r>
          </w:p>
        </w:tc>
        <w:tc>
          <w:tcPr>
            <w:tcW w:w="1225"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152.863,92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61.509,13 </w:t>
            </w:r>
          </w:p>
        </w:tc>
        <w:tc>
          <w:tcPr>
            <w:tcW w:w="1087"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110.350,95 </w:t>
            </w:r>
          </w:p>
        </w:tc>
        <w:tc>
          <w:tcPr>
            <w:tcW w:w="1299" w:type="dxa"/>
            <w:tcBorders>
              <w:top w:val="nil"/>
              <w:left w:val="nil"/>
              <w:bottom w:val="single" w:sz="4" w:space="0" w:color="auto"/>
              <w:right w:val="single" w:sz="4" w:space="0" w:color="auto"/>
            </w:tcBorders>
            <w:shd w:val="clear" w:color="auto" w:fill="auto"/>
            <w:noWrap/>
            <w:vAlign w:val="bottom"/>
            <w:hideMark/>
          </w:tcPr>
          <w:p w:rsidR="00E5210D" w:rsidRPr="009B1F34" w:rsidRDefault="00E5210D" w:rsidP="004B7A6C">
            <w:pPr>
              <w:spacing w:after="0" w:line="240" w:lineRule="auto"/>
              <w:rPr>
                <w:rFonts w:ascii="Book Antiqua" w:hAnsi="Book Antiqua" w:cs="Arial"/>
                <w:sz w:val="18"/>
                <w:szCs w:val="18"/>
              </w:rPr>
            </w:pPr>
            <w:r w:rsidRPr="009B1F34">
              <w:rPr>
                <w:rFonts w:ascii="Book Antiqua" w:hAnsi="Book Antiqua" w:cs="Arial"/>
                <w:sz w:val="18"/>
                <w:szCs w:val="18"/>
              </w:rPr>
              <w:t xml:space="preserve">       146,31 </w:t>
            </w:r>
          </w:p>
        </w:tc>
      </w:tr>
    </w:tbl>
    <w:p w:rsidR="00E5210D" w:rsidRDefault="00E5210D" w:rsidP="00E5210D">
      <w:pPr>
        <w:pStyle w:val="Corpotesto"/>
        <w:rPr>
          <w:rFonts w:ascii="Book Antiqua" w:hAnsi="Book Antiqua"/>
          <w:b/>
          <w:szCs w:val="24"/>
        </w:rPr>
      </w:pPr>
    </w:p>
    <w:p w:rsidR="00E5210D" w:rsidRDefault="00E5210D" w:rsidP="00E5210D">
      <w:pPr>
        <w:pStyle w:val="Corpotesto"/>
        <w:rPr>
          <w:rFonts w:ascii="Book Antiqua" w:hAnsi="Book Antiqua"/>
          <w:b/>
          <w:szCs w:val="24"/>
        </w:rPr>
      </w:pPr>
    </w:p>
    <w:p w:rsidR="00E5210D" w:rsidRDefault="00E5210D" w:rsidP="00E5210D">
      <w:pPr>
        <w:pStyle w:val="Corpotesto"/>
        <w:rPr>
          <w:rFonts w:ascii="Book Antiqua" w:hAnsi="Book Antiqua"/>
          <w:b/>
          <w:szCs w:val="24"/>
        </w:rPr>
      </w:pPr>
    </w:p>
    <w:p w:rsidR="00FC05CD" w:rsidRDefault="00FC05CD" w:rsidP="00FC05CD">
      <w:pPr>
        <w:spacing w:before="240"/>
        <w:jc w:val="both"/>
        <w:rPr>
          <w:rFonts w:ascii="Times New Roman" w:hAnsi="Times New Roman" w:cs="Times New Roman"/>
        </w:rPr>
      </w:pPr>
      <w:r>
        <w:lastRenderedPageBreak/>
        <w:t xml:space="preserve">3) INVESTIMENTI E REALIZZAZIONE </w:t>
      </w:r>
      <w:proofErr w:type="spellStart"/>
      <w:r>
        <w:t>DI</w:t>
      </w:r>
      <w:proofErr w:type="spellEnd"/>
      <w:r>
        <w:t xml:space="preserve"> OPERE PUBBLICHE</w:t>
      </w:r>
    </w:p>
    <w:p w:rsidR="00FC05CD" w:rsidRDefault="00FC05CD" w:rsidP="00FC05CD">
      <w:pPr>
        <w:numPr>
          <w:ilvl w:val="0"/>
          <w:numId w:val="5"/>
        </w:numPr>
        <w:spacing w:after="0" w:line="240" w:lineRule="auto"/>
        <w:jc w:val="both"/>
        <w:rPr>
          <w:u w:val="single"/>
        </w:rPr>
      </w:pPr>
      <w:r>
        <w:rPr>
          <w:u w:val="single"/>
        </w:rPr>
        <w:t>Fabbisogno in termini di spesa di investimento</w:t>
      </w:r>
    </w:p>
    <w:p w:rsidR="00FC05CD" w:rsidRDefault="00FC05CD" w:rsidP="00FC05CD">
      <w:pPr>
        <w:jc w:val="both"/>
      </w:pPr>
      <w:r>
        <w:t xml:space="preserve">Le opere inserite nel piano saranno realizzate solo se </w:t>
      </w:r>
      <w:smartTag w:uri="urn:schemas-microsoft-com:office:smarttags" w:element="PersonName">
        <w:smartTagPr>
          <w:attr w:name="ProductID" w:val="la Regione Lazio"/>
        </w:smartTagPr>
        <w:r>
          <w:t>la Regione Lazio</w:t>
        </w:r>
      </w:smartTag>
      <w:r>
        <w:t xml:space="preserve"> concederà i contributi all'uopo richiesti o da richiedere. I tempi di realizzazione delle opere sono quelli previsti dal programma triennale qualora le opere riceveranno i finanziamenti richiesti.  Le spese di gestione e manutenzione delle nuove opere saranno  oggetto di apposita analisi in sede di approvazione dei progetti esecutivi.</w:t>
      </w:r>
    </w:p>
    <w:p w:rsidR="00FC05CD" w:rsidRDefault="00FC05CD" w:rsidP="00FC05CD">
      <w:pPr>
        <w:tabs>
          <w:tab w:val="left" w:pos="-142"/>
          <w:tab w:val="left" w:pos="2160"/>
          <w:tab w:val="left" w:pos="2880"/>
          <w:tab w:val="left" w:pos="3600"/>
          <w:tab w:val="left" w:pos="4320"/>
          <w:tab w:val="left" w:pos="5040"/>
          <w:tab w:val="left" w:pos="5760"/>
          <w:tab w:val="left" w:pos="6480"/>
          <w:tab w:val="left" w:pos="7200"/>
          <w:tab w:val="left" w:pos="7920"/>
          <w:tab w:val="left" w:pos="9216"/>
          <w:tab w:val="left" w:pos="9936"/>
        </w:tabs>
        <w:ind w:right="49"/>
        <w:jc w:val="center"/>
        <w:rPr>
          <w:sz w:val="36"/>
          <w:szCs w:val="36"/>
        </w:rPr>
      </w:pPr>
      <w:r>
        <w:rPr>
          <w:sz w:val="36"/>
          <w:szCs w:val="36"/>
        </w:rPr>
        <w:t xml:space="preserve">COMUNE </w:t>
      </w:r>
      <w:proofErr w:type="spellStart"/>
      <w:r>
        <w:rPr>
          <w:sz w:val="36"/>
          <w:szCs w:val="36"/>
        </w:rPr>
        <w:t>DI</w:t>
      </w:r>
      <w:proofErr w:type="spellEnd"/>
      <w:r>
        <w:rPr>
          <w:sz w:val="36"/>
          <w:szCs w:val="36"/>
        </w:rPr>
        <w:t xml:space="preserve"> MONTASOLA</w:t>
      </w:r>
    </w:p>
    <w:p w:rsidR="00FC05CD" w:rsidRDefault="00FC05CD" w:rsidP="00FC05CD">
      <w:pPr>
        <w:tabs>
          <w:tab w:val="left" w:pos="-142"/>
          <w:tab w:val="left" w:pos="2160"/>
          <w:tab w:val="left" w:pos="2880"/>
          <w:tab w:val="left" w:pos="3600"/>
          <w:tab w:val="left" w:pos="4320"/>
          <w:tab w:val="left" w:pos="5040"/>
          <w:tab w:val="left" w:pos="5760"/>
          <w:tab w:val="left" w:pos="6480"/>
          <w:tab w:val="left" w:pos="7200"/>
          <w:tab w:val="left" w:pos="7920"/>
          <w:tab w:val="left" w:pos="9216"/>
          <w:tab w:val="left" w:pos="9936"/>
        </w:tabs>
        <w:ind w:right="49"/>
        <w:jc w:val="center"/>
        <w:rPr>
          <w:sz w:val="36"/>
          <w:szCs w:val="36"/>
        </w:rPr>
      </w:pPr>
      <w:r>
        <w:rPr>
          <w:sz w:val="36"/>
          <w:szCs w:val="36"/>
        </w:rPr>
        <w:t>PROGRAMMA TRIENNALE OPERE PUBBLICHE</w:t>
      </w: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671"/>
        <w:gridCol w:w="1310"/>
        <w:gridCol w:w="1456"/>
        <w:gridCol w:w="1456"/>
        <w:gridCol w:w="2427"/>
      </w:tblGrid>
      <w:tr w:rsidR="00FC05CD" w:rsidTr="00FC05CD">
        <w:tc>
          <w:tcPr>
            <w:tcW w:w="532" w:type="dxa"/>
            <w:tcBorders>
              <w:top w:val="single" w:sz="4" w:space="0" w:color="auto"/>
              <w:left w:val="single" w:sz="4" w:space="0" w:color="auto"/>
              <w:bottom w:val="single" w:sz="4" w:space="0" w:color="auto"/>
              <w:right w:val="single" w:sz="4" w:space="0" w:color="auto"/>
            </w:tcBorders>
            <w:shd w:val="clear" w:color="auto" w:fill="D9D9D9"/>
            <w:vAlign w:val="center"/>
          </w:tcPr>
          <w:p w:rsidR="00FC05CD" w:rsidRDefault="00FC05CD">
            <w:pPr>
              <w:ind w:right="49"/>
              <w:jc w:val="right"/>
              <w:rPr>
                <w:b/>
              </w:rPr>
            </w:pPr>
          </w:p>
        </w:tc>
        <w:tc>
          <w:tcPr>
            <w:tcW w:w="26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05CD" w:rsidRDefault="00FC05CD">
            <w:pPr>
              <w:ind w:right="49"/>
              <w:jc w:val="center"/>
              <w:rPr>
                <w:b/>
              </w:rPr>
            </w:pPr>
            <w:r>
              <w:rPr>
                <w:b/>
              </w:rPr>
              <w:t>INTERVENTI</w:t>
            </w:r>
          </w:p>
        </w:tc>
        <w:tc>
          <w:tcPr>
            <w:tcW w:w="13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05CD" w:rsidRDefault="00FC05CD">
            <w:pPr>
              <w:ind w:right="49"/>
              <w:jc w:val="center"/>
              <w:rPr>
                <w:b/>
              </w:rPr>
            </w:pPr>
            <w:r>
              <w:rPr>
                <w:b/>
              </w:rPr>
              <w:t>2019</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05CD" w:rsidRDefault="00FC05CD">
            <w:pPr>
              <w:ind w:right="49"/>
              <w:jc w:val="center"/>
              <w:rPr>
                <w:b/>
              </w:rPr>
            </w:pPr>
            <w:r>
              <w:rPr>
                <w:b/>
              </w:rPr>
              <w:t>2020</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05CD" w:rsidRDefault="00FC05CD">
            <w:pPr>
              <w:ind w:right="49"/>
              <w:jc w:val="center"/>
              <w:rPr>
                <w:b/>
              </w:rPr>
            </w:pPr>
            <w:r>
              <w:rPr>
                <w:b/>
              </w:rPr>
              <w:t>2021</w:t>
            </w:r>
          </w:p>
        </w:tc>
        <w:tc>
          <w:tcPr>
            <w:tcW w:w="24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05CD" w:rsidRDefault="00FC05CD">
            <w:pPr>
              <w:jc w:val="center"/>
              <w:rPr>
                <w:b/>
              </w:rPr>
            </w:pPr>
            <w:r>
              <w:rPr>
                <w:b/>
              </w:rPr>
              <w:t>TIPOLOGIA</w:t>
            </w:r>
          </w:p>
          <w:p w:rsidR="00FC05CD" w:rsidRDefault="00FC05CD">
            <w:pPr>
              <w:jc w:val="center"/>
              <w:rPr>
                <w:b/>
              </w:rPr>
            </w:pPr>
            <w:r>
              <w:rPr>
                <w:b/>
              </w:rPr>
              <w:t>FINANZIAMENTO</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1</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 xml:space="preserve">Messa in sicurezza edificio scolastico “Magg. Manlio </w:t>
            </w:r>
            <w:proofErr w:type="spellStart"/>
            <w:r>
              <w:rPr>
                <w:sz w:val="20"/>
                <w:szCs w:val="20"/>
              </w:rPr>
              <w:t>Crispini</w:t>
            </w:r>
            <w:proofErr w:type="spellEnd"/>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454.244,83</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2</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Acquedotto Comunale</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404.861,06</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3</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 xml:space="preserve">Opere </w:t>
            </w:r>
            <w:proofErr w:type="spellStart"/>
            <w:r>
              <w:rPr>
                <w:sz w:val="20"/>
                <w:szCs w:val="20"/>
              </w:rPr>
              <w:t>Bucalossi</w:t>
            </w:r>
            <w:proofErr w:type="spellEnd"/>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5.000,00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Fondi di bilancio</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4</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Pubblica Illuminazione</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195.000,00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5</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Oratorio SS. Crocefisso</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234.509,00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6</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Strade comunali esterne</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508.297,06</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7</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Sistemazione percorso attrezzato</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245.000,00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9</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Parcheggio Centro Storico</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760.184,00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10</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Recupero Centro Storico</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300.000,00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11</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rsidP="00E5210D">
            <w:pPr>
              <w:ind w:right="49"/>
              <w:jc w:val="both"/>
              <w:rPr>
                <w:sz w:val="20"/>
                <w:szCs w:val="20"/>
              </w:rPr>
            </w:pPr>
            <w:r>
              <w:rPr>
                <w:sz w:val="20"/>
                <w:szCs w:val="20"/>
              </w:rPr>
              <w:t>Completamento e messa in sicurezza</w:t>
            </w:r>
            <w:r w:rsidR="00E5210D">
              <w:rPr>
                <w:sz w:val="20"/>
                <w:szCs w:val="20"/>
              </w:rPr>
              <w:t xml:space="preserve"> </w:t>
            </w:r>
            <w:r>
              <w:rPr>
                <w:sz w:val="20"/>
                <w:szCs w:val="20"/>
              </w:rPr>
              <w:t xml:space="preserve">strada intercomunale </w:t>
            </w:r>
            <w:proofErr w:type="spellStart"/>
            <w:r>
              <w:rPr>
                <w:sz w:val="20"/>
                <w:szCs w:val="20"/>
              </w:rPr>
              <w:t>colledroni</w:t>
            </w:r>
            <w:proofErr w:type="spellEnd"/>
            <w:r>
              <w:rPr>
                <w:sz w:val="20"/>
                <w:szCs w:val="20"/>
              </w:rPr>
              <w:t xml:space="preserve"> fonte vecchia valle santi Centro Storico</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454.244,83</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r>
              <w:rPr>
                <w:sz w:val="20"/>
                <w:szCs w:val="20"/>
              </w:rPr>
              <w:t>12</w:t>
            </w: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r>
              <w:rPr>
                <w:sz w:val="20"/>
                <w:szCs w:val="20"/>
              </w:rPr>
              <w:t>Sistema di videosorveglianza</w:t>
            </w: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59.557,60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p>
          <w:p w:rsidR="00136476" w:rsidRDefault="00136476">
            <w:pPr>
              <w:ind w:right="49"/>
              <w:jc w:val="right"/>
              <w:rPr>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p>
        </w:tc>
      </w:tr>
    </w:tbl>
    <w:p w:rsidR="00FC05CD" w:rsidRDefault="00FC05CD" w:rsidP="00FC05CD">
      <w:pPr>
        <w:rPr>
          <w:sz w:val="24"/>
          <w:szCs w:val="24"/>
        </w:rPr>
      </w:pPr>
    </w:p>
    <w:p w:rsidR="00136476" w:rsidRDefault="00136476" w:rsidP="00FC05CD">
      <w:pPr>
        <w:rPr>
          <w:sz w:val="24"/>
          <w:szCs w:val="24"/>
        </w:rPr>
      </w:pPr>
    </w:p>
    <w:p w:rsidR="00136476" w:rsidRDefault="00136476" w:rsidP="00FC05CD">
      <w:pPr>
        <w:rPr>
          <w:sz w:val="24"/>
          <w:szCs w:val="24"/>
        </w:rPr>
      </w:pPr>
      <w:r>
        <w:rPr>
          <w:sz w:val="24"/>
          <w:szCs w:val="24"/>
        </w:rPr>
        <w:lastRenderedPageBreak/>
        <w:t>opere con promessa di finanziamento per il 2019</w:t>
      </w: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671"/>
        <w:gridCol w:w="1310"/>
        <w:gridCol w:w="1456"/>
        <w:gridCol w:w="1456"/>
        <w:gridCol w:w="2427"/>
      </w:tblGrid>
      <w:tr w:rsidR="00136476" w:rsidTr="00136476">
        <w:tc>
          <w:tcPr>
            <w:tcW w:w="532"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right"/>
              <w:rPr>
                <w:sz w:val="20"/>
                <w:szCs w:val="20"/>
              </w:rPr>
            </w:pPr>
            <w:r>
              <w:rPr>
                <w:sz w:val="20"/>
                <w:szCs w:val="20"/>
              </w:rPr>
              <w:t>8</w:t>
            </w:r>
          </w:p>
        </w:tc>
        <w:tc>
          <w:tcPr>
            <w:tcW w:w="2671"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both"/>
              <w:rPr>
                <w:sz w:val="20"/>
                <w:szCs w:val="20"/>
              </w:rPr>
            </w:pPr>
            <w:r>
              <w:rPr>
                <w:sz w:val="20"/>
                <w:szCs w:val="20"/>
              </w:rPr>
              <w:t xml:space="preserve">Stabile Opera Pia “F. </w:t>
            </w:r>
            <w:proofErr w:type="spellStart"/>
            <w:r>
              <w:rPr>
                <w:sz w:val="20"/>
                <w:szCs w:val="20"/>
              </w:rPr>
              <w:t>Cimini</w:t>
            </w:r>
            <w:proofErr w:type="spellEnd"/>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968.000,00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0</w:t>
            </w: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0</w:t>
            </w:r>
          </w:p>
        </w:tc>
        <w:tc>
          <w:tcPr>
            <w:tcW w:w="2427"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rPr>
                <w:sz w:val="20"/>
                <w:szCs w:val="20"/>
              </w:rPr>
            </w:pPr>
            <w:r>
              <w:rPr>
                <w:sz w:val="20"/>
                <w:szCs w:val="20"/>
              </w:rPr>
              <w:t>Contributo Regionale</w:t>
            </w:r>
          </w:p>
        </w:tc>
      </w:tr>
      <w:tr w:rsidR="00FC05CD" w:rsidTr="00FC05CD">
        <w:tc>
          <w:tcPr>
            <w:tcW w:w="532"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right"/>
              <w:rPr>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both"/>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ind w:right="49"/>
              <w:jc w:val="center"/>
              <w:rPr>
                <w:sz w:val="20"/>
                <w:szCs w:val="20"/>
              </w:rPr>
            </w:pPr>
          </w:p>
        </w:tc>
        <w:tc>
          <w:tcPr>
            <w:tcW w:w="2427" w:type="dxa"/>
            <w:tcBorders>
              <w:top w:val="single" w:sz="4" w:space="0" w:color="auto"/>
              <w:left w:val="single" w:sz="4" w:space="0" w:color="auto"/>
              <w:bottom w:val="single" w:sz="4" w:space="0" w:color="auto"/>
              <w:right w:val="single" w:sz="4" w:space="0" w:color="auto"/>
            </w:tcBorders>
            <w:vAlign w:val="center"/>
            <w:hideMark/>
          </w:tcPr>
          <w:p w:rsidR="00FC05CD" w:rsidRDefault="00FC05CD">
            <w:pPr>
              <w:rPr>
                <w:sz w:val="20"/>
                <w:szCs w:val="20"/>
              </w:rPr>
            </w:pPr>
          </w:p>
        </w:tc>
      </w:tr>
      <w:tr w:rsidR="00E5210D" w:rsidTr="00E5210D">
        <w:tc>
          <w:tcPr>
            <w:tcW w:w="532" w:type="dxa"/>
            <w:tcBorders>
              <w:top w:val="single" w:sz="4" w:space="0" w:color="auto"/>
              <w:left w:val="single" w:sz="4" w:space="0" w:color="auto"/>
              <w:bottom w:val="single" w:sz="4" w:space="0" w:color="auto"/>
              <w:right w:val="single" w:sz="4" w:space="0" w:color="auto"/>
            </w:tcBorders>
            <w:vAlign w:val="center"/>
            <w:hideMark/>
          </w:tcPr>
          <w:p w:rsidR="00E5210D" w:rsidRDefault="00E5210D" w:rsidP="004B7A6C">
            <w:pPr>
              <w:ind w:right="49"/>
              <w:jc w:val="right"/>
              <w:rPr>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E5210D" w:rsidRDefault="00E5210D" w:rsidP="004B7A6C">
            <w:pPr>
              <w:ind w:right="49"/>
              <w:jc w:val="both"/>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E5210D" w:rsidRDefault="00E5210D" w:rsidP="004B7A6C">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E5210D" w:rsidRDefault="00E5210D" w:rsidP="004B7A6C">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E5210D" w:rsidRDefault="00E5210D" w:rsidP="004B7A6C">
            <w:pPr>
              <w:ind w:right="49"/>
              <w:jc w:val="center"/>
              <w:rPr>
                <w:sz w:val="20"/>
                <w:szCs w:val="20"/>
              </w:rPr>
            </w:pPr>
          </w:p>
        </w:tc>
        <w:tc>
          <w:tcPr>
            <w:tcW w:w="2427" w:type="dxa"/>
            <w:tcBorders>
              <w:top w:val="single" w:sz="4" w:space="0" w:color="auto"/>
              <w:left w:val="single" w:sz="4" w:space="0" w:color="auto"/>
              <w:bottom w:val="single" w:sz="4" w:space="0" w:color="auto"/>
              <w:right w:val="single" w:sz="4" w:space="0" w:color="auto"/>
            </w:tcBorders>
            <w:vAlign w:val="center"/>
            <w:hideMark/>
          </w:tcPr>
          <w:p w:rsidR="00E5210D" w:rsidRDefault="00E5210D" w:rsidP="004B7A6C">
            <w:pPr>
              <w:rPr>
                <w:sz w:val="20"/>
                <w:szCs w:val="20"/>
              </w:rPr>
            </w:pPr>
          </w:p>
        </w:tc>
      </w:tr>
      <w:tr w:rsidR="00136476" w:rsidTr="00136476">
        <w:tc>
          <w:tcPr>
            <w:tcW w:w="532"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right"/>
              <w:rPr>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both"/>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p>
        </w:tc>
        <w:tc>
          <w:tcPr>
            <w:tcW w:w="2427"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rPr>
                <w:sz w:val="20"/>
                <w:szCs w:val="20"/>
              </w:rPr>
            </w:pPr>
          </w:p>
        </w:tc>
      </w:tr>
    </w:tbl>
    <w:p w:rsidR="00FC05CD" w:rsidRDefault="00FC05CD" w:rsidP="00FC05CD"/>
    <w:p w:rsidR="00136476" w:rsidRDefault="00136476" w:rsidP="00FC05CD"/>
    <w:p w:rsidR="00136476" w:rsidRDefault="00136476" w:rsidP="00FC05CD">
      <w:r>
        <w:t>opere finanziate per il 2019 in corso di realizzazione</w:t>
      </w: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671"/>
        <w:gridCol w:w="1310"/>
        <w:gridCol w:w="1456"/>
        <w:gridCol w:w="1456"/>
        <w:gridCol w:w="2427"/>
      </w:tblGrid>
      <w:tr w:rsidR="00136476" w:rsidTr="004B7A6C">
        <w:tc>
          <w:tcPr>
            <w:tcW w:w="532"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right"/>
              <w:rPr>
                <w:sz w:val="20"/>
                <w:szCs w:val="20"/>
              </w:rPr>
            </w:pPr>
            <w:r>
              <w:rPr>
                <w:sz w:val="20"/>
                <w:szCs w:val="20"/>
              </w:rPr>
              <w:t>14</w:t>
            </w:r>
          </w:p>
        </w:tc>
        <w:tc>
          <w:tcPr>
            <w:tcW w:w="2671"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both"/>
              <w:rPr>
                <w:sz w:val="20"/>
                <w:szCs w:val="20"/>
              </w:rPr>
            </w:pPr>
            <w:r>
              <w:rPr>
                <w:sz w:val="20"/>
                <w:szCs w:val="20"/>
              </w:rPr>
              <w:t>Sistemazione pozzo centro storico</w:t>
            </w:r>
          </w:p>
        </w:tc>
        <w:tc>
          <w:tcPr>
            <w:tcW w:w="1310"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136476">
            <w:pPr>
              <w:ind w:right="49"/>
              <w:jc w:val="center"/>
              <w:rPr>
                <w:sz w:val="20"/>
                <w:szCs w:val="20"/>
              </w:rPr>
            </w:pPr>
            <w:r>
              <w:rPr>
                <w:sz w:val="20"/>
                <w:szCs w:val="20"/>
              </w:rPr>
              <w:t>4</w:t>
            </w:r>
            <w:r>
              <w:rPr>
                <w:sz w:val="20"/>
                <w:szCs w:val="20"/>
              </w:rPr>
              <w:t>5</w:t>
            </w:r>
            <w:r>
              <w:rPr>
                <w:sz w:val="20"/>
                <w:szCs w:val="20"/>
              </w:rPr>
              <w:t>.000,00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5.000,00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5.000,00</w:t>
            </w:r>
          </w:p>
        </w:tc>
        <w:tc>
          <w:tcPr>
            <w:tcW w:w="2427"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136476">
            <w:pPr>
              <w:rPr>
                <w:sz w:val="20"/>
                <w:szCs w:val="20"/>
              </w:rPr>
            </w:pPr>
            <w:r>
              <w:rPr>
                <w:sz w:val="20"/>
                <w:szCs w:val="20"/>
              </w:rPr>
              <w:t xml:space="preserve">Contributo </w:t>
            </w:r>
            <w:r>
              <w:rPr>
                <w:sz w:val="20"/>
                <w:szCs w:val="20"/>
              </w:rPr>
              <w:t>statale legge finanziaria</w:t>
            </w:r>
          </w:p>
        </w:tc>
      </w:tr>
      <w:tr w:rsidR="00136476" w:rsidTr="004B7A6C">
        <w:tc>
          <w:tcPr>
            <w:tcW w:w="532"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right"/>
              <w:rPr>
                <w:sz w:val="20"/>
                <w:szCs w:val="20"/>
              </w:rPr>
            </w:pPr>
            <w:r>
              <w:rPr>
                <w:sz w:val="20"/>
                <w:szCs w:val="20"/>
              </w:rPr>
              <w:t>13</w:t>
            </w:r>
          </w:p>
        </w:tc>
        <w:tc>
          <w:tcPr>
            <w:tcW w:w="2671"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both"/>
              <w:rPr>
                <w:sz w:val="20"/>
                <w:szCs w:val="20"/>
              </w:rPr>
            </w:pPr>
            <w:r>
              <w:rPr>
                <w:sz w:val="20"/>
                <w:szCs w:val="20"/>
              </w:rPr>
              <w:t xml:space="preserve">Sistemazione STRADA </w:t>
            </w:r>
            <w:proofErr w:type="spellStart"/>
            <w:r>
              <w:rPr>
                <w:sz w:val="20"/>
                <w:szCs w:val="20"/>
              </w:rPr>
              <w:t>COLLEDRONI-ina</w:t>
            </w:r>
            <w:proofErr w:type="spellEnd"/>
          </w:p>
        </w:tc>
        <w:tc>
          <w:tcPr>
            <w:tcW w:w="1310"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75.193,00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75.193,00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ind w:right="49"/>
              <w:jc w:val="center"/>
              <w:rPr>
                <w:sz w:val="20"/>
                <w:szCs w:val="20"/>
              </w:rPr>
            </w:pPr>
            <w:r>
              <w:rPr>
                <w:sz w:val="20"/>
                <w:szCs w:val="20"/>
              </w:rPr>
              <w:t>75.196,00</w:t>
            </w:r>
          </w:p>
        </w:tc>
        <w:tc>
          <w:tcPr>
            <w:tcW w:w="2427" w:type="dxa"/>
            <w:tcBorders>
              <w:top w:val="single" w:sz="4" w:space="0" w:color="auto"/>
              <w:left w:val="single" w:sz="4" w:space="0" w:color="auto"/>
              <w:bottom w:val="single" w:sz="4" w:space="0" w:color="auto"/>
              <w:right w:val="single" w:sz="4" w:space="0" w:color="auto"/>
            </w:tcBorders>
            <w:vAlign w:val="center"/>
            <w:hideMark/>
          </w:tcPr>
          <w:p w:rsidR="00136476" w:rsidRDefault="00136476" w:rsidP="004B7A6C">
            <w:pPr>
              <w:rPr>
                <w:sz w:val="20"/>
                <w:szCs w:val="20"/>
              </w:rPr>
            </w:pPr>
            <w:r>
              <w:rPr>
                <w:sz w:val="20"/>
                <w:szCs w:val="20"/>
              </w:rPr>
              <w:t>Contributo Regionale</w:t>
            </w:r>
          </w:p>
        </w:tc>
      </w:tr>
    </w:tbl>
    <w:p w:rsidR="00136476" w:rsidRDefault="00136476" w:rsidP="00FC05CD"/>
    <w:p w:rsidR="00FC05CD" w:rsidRDefault="00FC05CD" w:rsidP="00FC05CD"/>
    <w:p w:rsidR="00FC05CD" w:rsidRDefault="00FC05CD" w:rsidP="00FC05CD">
      <w:pPr>
        <w:numPr>
          <w:ilvl w:val="0"/>
          <w:numId w:val="5"/>
        </w:numPr>
        <w:spacing w:before="240" w:after="0" w:line="240" w:lineRule="auto"/>
        <w:jc w:val="both"/>
        <w:rPr>
          <w:u w:val="single"/>
        </w:rPr>
      </w:pPr>
      <w:r>
        <w:rPr>
          <w:u w:val="single"/>
        </w:rPr>
        <w:t xml:space="preserve">POLITICA FINANZIARIA PER </w:t>
      </w:r>
      <w:smartTag w:uri="urn:schemas-microsoft-com:office:smarttags" w:element="PersonName">
        <w:smartTagPr>
          <w:attr w:name="ProductID" w:val="LA REALIZZAZIONE DEGLI"/>
        </w:smartTagPr>
        <w:r>
          <w:rPr>
            <w:u w:val="single"/>
          </w:rPr>
          <w:t>LA REALIZZAZIONE DEGLI</w:t>
        </w:r>
      </w:smartTag>
      <w:r>
        <w:rPr>
          <w:u w:val="single"/>
        </w:rPr>
        <w:t xml:space="preserve"> INVESTIMENTI</w:t>
      </w:r>
    </w:p>
    <w:p w:rsidR="00FC05CD" w:rsidRDefault="00FC05CD" w:rsidP="00FC05CD">
      <w:pPr>
        <w:jc w:val="both"/>
      </w:pPr>
      <w:r>
        <w:t>L'ente soddisfa il parametro relativo all'incidenza dei debiti (mutui e prestiti) rispetto alle entrate correnti. La situazione finanziaria dell’ente  rileva  spazi finanziari per l'accensione di nuovi mutui.  Gli investimenti previsti nel piano triennale dei lavori pubblici verranno finanziati mediante l'attivazione di contributi regionali e statali; mediante l'utilizzo delle entrate da concessioni edilizie;  mediante la realizzazione di alienazioni patrimoniali; mediante applicazione dell'avanzo di amministrazione.  Per quanto riguarda la realizzazione del PREFABBRICATO la scelta del ricorso al mutuo è avvenuta tenendo conto delle effettive possibilità di ricorso all'indebitamento, alla disponibilità di entrate proprie, e ai rispettivi costi finanziari.</w:t>
      </w:r>
    </w:p>
    <w:p w:rsidR="00FC05CD" w:rsidRDefault="00FC05CD" w:rsidP="00FC05CD">
      <w:pPr>
        <w:numPr>
          <w:ilvl w:val="0"/>
          <w:numId w:val="5"/>
        </w:numPr>
        <w:spacing w:before="240" w:after="0" w:line="240" w:lineRule="auto"/>
        <w:jc w:val="both"/>
        <w:rPr>
          <w:u w:val="single"/>
        </w:rPr>
      </w:pPr>
      <w:r>
        <w:rPr>
          <w:u w:val="single"/>
        </w:rPr>
        <w:t>Politica di indebitamento</w:t>
      </w:r>
    </w:p>
    <w:p w:rsidR="00FC05CD" w:rsidRDefault="00FC05CD" w:rsidP="00FC05CD">
      <w:pPr>
        <w:spacing w:before="240"/>
        <w:ind w:left="360"/>
        <w:jc w:val="both"/>
        <w:rPr>
          <w:u w:val="single"/>
        </w:rPr>
      </w:pPr>
    </w:p>
    <w:p w:rsidR="00FC05CD" w:rsidRDefault="00FC05CD" w:rsidP="00FC05CD">
      <w:pPr>
        <w:jc w:val="both"/>
      </w:pPr>
      <w:r>
        <w:t xml:space="preserve">L'Ente  ha fatto ricorso nel 2015 alla  facoltà di accedere all’anticipazione di liquidità offerta dalla Cassa DDPP per il pagamento delle opere pubbliche finanziate da  contribuzioni regionali per lei quali </w:t>
      </w:r>
      <w:smartTag w:uri="urn:schemas-microsoft-com:office:smarttags" w:element="PersonName">
        <w:smartTagPr>
          <w:attr w:name="ProductID" w:val="la Regione"/>
        </w:smartTagPr>
        <w:r>
          <w:t>la Regione</w:t>
        </w:r>
      </w:smartTag>
      <w:r>
        <w:t xml:space="preserve"> stessa ad oggi non ha ancora erogato i relativi fondi.</w:t>
      </w:r>
    </w:p>
    <w:p w:rsidR="00FC05CD" w:rsidRDefault="00FC05CD" w:rsidP="00FC05CD">
      <w:pPr>
        <w:jc w:val="both"/>
      </w:pPr>
      <w:r>
        <w:t xml:space="preserve">Parte delle opere pubbliche sono state pagate </w:t>
      </w:r>
      <w:proofErr w:type="spellStart"/>
      <w:r>
        <w:t>facento</w:t>
      </w:r>
      <w:proofErr w:type="spellEnd"/>
      <w:r>
        <w:t xml:space="preserve"> ricorso anche all’anticipazione di cassa concessa dalla tesoreria a tasso agevolato. La situazione dovrebbe notevolmente migliorare nel prossimo anno, in quanto, avendo </w:t>
      </w:r>
      <w:smartTag w:uri="urn:schemas-microsoft-com:office:smarttags" w:element="PersonName">
        <w:smartTagPr>
          <w:attr w:name="ProductID" w:val="la Regione"/>
        </w:smartTagPr>
        <w:r>
          <w:t>la Regione</w:t>
        </w:r>
      </w:smartTag>
      <w:r>
        <w:t xml:space="preserve"> assicurato il pagamento delle somme spettanti si potrà procedere alla restituzione dell’anticipazione di cassa concessa dalla tesoreria.</w:t>
      </w:r>
    </w:p>
    <w:p w:rsidR="00FC05CD" w:rsidRDefault="00FC05CD" w:rsidP="00FC05CD">
      <w:pPr>
        <w:tabs>
          <w:tab w:val="right" w:pos="9638"/>
        </w:tabs>
        <w:jc w:val="both"/>
      </w:pPr>
      <w:r>
        <w:t>Il limite di indebitamento degli enti locali è stabilito dall’art.1 comma 539 della legge 19/2014.</w:t>
      </w:r>
    </w:p>
    <w:p w:rsidR="00FC05CD" w:rsidRDefault="00FC05CD" w:rsidP="00FC05CD">
      <w:pPr>
        <w:tabs>
          <w:tab w:val="right" w:pos="9638"/>
        </w:tabs>
        <w:jc w:val="both"/>
      </w:pPr>
      <w:r>
        <w:t>Tale limite è stabilito nella percentuale del 10% del totale di primi tre titoli delle entrate del penultimo esercizio approvato (2017) a decorrere dal 2019.</w:t>
      </w:r>
    </w:p>
    <w:p w:rsidR="00FC05CD" w:rsidRDefault="00FC05CD" w:rsidP="00FC05CD">
      <w:pPr>
        <w:tabs>
          <w:tab w:val="right" w:pos="9638"/>
        </w:tabs>
        <w:jc w:val="both"/>
      </w:pPr>
      <w:r>
        <w:t>Di seguito si espone il calcolo relativo al rispetto di tale limite:</w:t>
      </w:r>
    </w:p>
    <w:p w:rsidR="00FC05CD" w:rsidRDefault="00FC05CD" w:rsidP="00FC05CD">
      <w:pPr>
        <w:tabs>
          <w:tab w:val="right" w:pos="9638"/>
        </w:tabs>
        <w:jc w:val="both"/>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02"/>
        <w:gridCol w:w="2081"/>
      </w:tblGrid>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keepNext/>
              <w:outlineLvl w:val="1"/>
              <w:rPr>
                <w:b/>
                <w:bCs/>
                <w:sz w:val="24"/>
                <w:szCs w:val="24"/>
              </w:rPr>
            </w:pPr>
          </w:p>
          <w:p w:rsidR="00FC05CD" w:rsidRDefault="00FC05CD">
            <w:pPr>
              <w:keepNext/>
              <w:outlineLvl w:val="1"/>
              <w:rPr>
                <w:b/>
                <w:bCs/>
              </w:rPr>
            </w:pPr>
            <w:r>
              <w:rPr>
                <w:b/>
                <w:bCs/>
              </w:rPr>
              <w:t>ENTRATE ACCERTATE ESERCIZIO 2017</w:t>
            </w:r>
          </w:p>
          <w:p w:rsidR="00FC05CD" w:rsidRDefault="00FC05CD">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C05CD" w:rsidRDefault="00FC05CD">
            <w:pPr>
              <w:keepNext/>
              <w:outlineLvl w:val="1"/>
              <w:rPr>
                <w:b/>
                <w:bCs/>
                <w:sz w:val="24"/>
                <w:szCs w:val="24"/>
              </w:rPr>
            </w:pPr>
          </w:p>
          <w:p w:rsidR="00FC05CD" w:rsidRDefault="00FC05CD">
            <w:pPr>
              <w:keepNext/>
              <w:outlineLvl w:val="1"/>
              <w:rPr>
                <w:b/>
                <w:bCs/>
                <w:sz w:val="24"/>
                <w:szCs w:val="24"/>
              </w:rPr>
            </w:pPr>
            <w:r>
              <w:rPr>
                <w:b/>
                <w:bCs/>
              </w:rPr>
              <w:t>ENTRATE ACCERTATE</w:t>
            </w:r>
          </w:p>
        </w:tc>
      </w:tr>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rPr>
                <w:sz w:val="24"/>
                <w:szCs w:val="24"/>
              </w:rPr>
            </w:pPr>
          </w:p>
          <w:p w:rsidR="00FC05CD" w:rsidRDefault="00FC05CD" w:rsidP="00FC05CD">
            <w:pPr>
              <w:numPr>
                <w:ilvl w:val="0"/>
                <w:numId w:val="6"/>
              </w:numPr>
              <w:spacing w:after="0" w:line="240" w:lineRule="auto"/>
            </w:pPr>
            <w:r>
              <w:t>TITOLO I – ENTRATE TRIBUTARIE</w:t>
            </w:r>
          </w:p>
          <w:p w:rsidR="00FC05CD" w:rsidRDefault="00FC05CD">
            <w:pPr>
              <w:ind w:left="360"/>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C05CD" w:rsidRDefault="00FC05CD">
            <w:pPr>
              <w:jc w:val="right"/>
              <w:rPr>
                <w:sz w:val="24"/>
                <w:szCs w:val="24"/>
              </w:rPr>
            </w:pPr>
          </w:p>
          <w:p w:rsidR="00FC05CD" w:rsidRDefault="00FC05CD">
            <w:pPr>
              <w:jc w:val="right"/>
              <w:rPr>
                <w:sz w:val="24"/>
                <w:szCs w:val="24"/>
              </w:rPr>
            </w:pPr>
            <w:r>
              <w:t>506.606,27</w:t>
            </w:r>
          </w:p>
        </w:tc>
      </w:tr>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rPr>
                <w:sz w:val="24"/>
                <w:szCs w:val="24"/>
              </w:rPr>
            </w:pPr>
          </w:p>
          <w:p w:rsidR="00FC05CD" w:rsidRDefault="00FC05CD" w:rsidP="00FC05CD">
            <w:pPr>
              <w:numPr>
                <w:ilvl w:val="0"/>
                <w:numId w:val="6"/>
              </w:numPr>
              <w:spacing w:after="0" w:line="240" w:lineRule="auto"/>
            </w:pPr>
            <w:r>
              <w:t>TITOLO II – TRASFERIMENTI CORRENTI</w:t>
            </w:r>
          </w:p>
          <w:p w:rsidR="00FC05CD" w:rsidRDefault="00FC05CD">
            <w:pPr>
              <w:ind w:left="360"/>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C05CD" w:rsidRDefault="00FC05CD">
            <w:pPr>
              <w:jc w:val="right"/>
              <w:rPr>
                <w:sz w:val="24"/>
                <w:szCs w:val="24"/>
              </w:rPr>
            </w:pPr>
          </w:p>
          <w:p w:rsidR="00FC05CD" w:rsidRDefault="00FC05CD">
            <w:pPr>
              <w:jc w:val="right"/>
              <w:rPr>
                <w:sz w:val="24"/>
                <w:szCs w:val="24"/>
              </w:rPr>
            </w:pPr>
            <w:r>
              <w:t>67.496,21</w:t>
            </w:r>
          </w:p>
        </w:tc>
      </w:tr>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rPr>
                <w:sz w:val="24"/>
                <w:szCs w:val="24"/>
              </w:rPr>
            </w:pPr>
          </w:p>
          <w:p w:rsidR="00FC05CD" w:rsidRDefault="00FC05CD" w:rsidP="00FC05CD">
            <w:pPr>
              <w:numPr>
                <w:ilvl w:val="0"/>
                <w:numId w:val="6"/>
              </w:numPr>
              <w:spacing w:after="0" w:line="240" w:lineRule="auto"/>
            </w:pPr>
            <w:r>
              <w:t>TITOLO III – ENTRATE EXTRATRIBUTARIE</w:t>
            </w:r>
          </w:p>
          <w:p w:rsidR="00FC05CD" w:rsidRDefault="00FC05CD">
            <w:pPr>
              <w:ind w:left="360"/>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C05CD" w:rsidRDefault="00FC05CD">
            <w:pPr>
              <w:jc w:val="right"/>
              <w:rPr>
                <w:sz w:val="24"/>
                <w:szCs w:val="24"/>
              </w:rPr>
            </w:pPr>
          </w:p>
          <w:p w:rsidR="00FC05CD" w:rsidRDefault="00FC05CD">
            <w:pPr>
              <w:jc w:val="right"/>
              <w:rPr>
                <w:sz w:val="24"/>
                <w:szCs w:val="24"/>
              </w:rPr>
            </w:pPr>
            <w:r>
              <w:t>54.619,45</w:t>
            </w:r>
          </w:p>
        </w:tc>
      </w:tr>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rPr>
                <w:sz w:val="24"/>
                <w:szCs w:val="24"/>
              </w:rPr>
            </w:pPr>
          </w:p>
          <w:p w:rsidR="00FC05CD" w:rsidRDefault="00FC05CD" w:rsidP="00FC05CD">
            <w:pPr>
              <w:numPr>
                <w:ilvl w:val="0"/>
                <w:numId w:val="6"/>
              </w:numPr>
              <w:spacing w:after="0" w:line="240" w:lineRule="auto"/>
            </w:pPr>
            <w:r>
              <w:t>TOTALE ENTRATE CORRENTI (A+B+C+)</w:t>
            </w:r>
          </w:p>
          <w:p w:rsidR="00FC05CD" w:rsidRDefault="00FC05CD">
            <w:pPr>
              <w:ind w:left="360"/>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C05CD" w:rsidRDefault="00FC05CD">
            <w:pPr>
              <w:jc w:val="right"/>
              <w:rPr>
                <w:sz w:val="24"/>
                <w:szCs w:val="24"/>
              </w:rPr>
            </w:pPr>
          </w:p>
          <w:p w:rsidR="00FC05CD" w:rsidRDefault="00FC05CD">
            <w:pPr>
              <w:jc w:val="right"/>
              <w:rPr>
                <w:sz w:val="24"/>
                <w:szCs w:val="24"/>
              </w:rPr>
            </w:pPr>
            <w:r>
              <w:t>628.721,93</w:t>
            </w:r>
          </w:p>
        </w:tc>
      </w:tr>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rPr>
                <w:sz w:val="24"/>
                <w:szCs w:val="24"/>
              </w:rPr>
            </w:pPr>
          </w:p>
          <w:p w:rsidR="00FC05CD" w:rsidRDefault="00FC05CD">
            <w:r>
              <w:t xml:space="preserve">LIMITE </w:t>
            </w:r>
            <w:proofErr w:type="spellStart"/>
            <w:r>
              <w:t>DI</w:t>
            </w:r>
            <w:proofErr w:type="spellEnd"/>
            <w:r>
              <w:t xml:space="preserve"> INDEBITAMENTO (10% </w:t>
            </w:r>
            <w:proofErr w:type="spellStart"/>
            <w:r>
              <w:t>DI</w:t>
            </w:r>
            <w:proofErr w:type="spellEnd"/>
            <w:r>
              <w:t xml:space="preserve"> D)</w:t>
            </w:r>
          </w:p>
          <w:p w:rsidR="00FC05CD" w:rsidRDefault="00FC05CD">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C05CD" w:rsidRDefault="00FC05CD">
            <w:pPr>
              <w:jc w:val="right"/>
              <w:rPr>
                <w:sz w:val="24"/>
                <w:szCs w:val="24"/>
              </w:rPr>
            </w:pPr>
          </w:p>
          <w:p w:rsidR="00FC05CD" w:rsidRDefault="00FC05CD">
            <w:pPr>
              <w:jc w:val="right"/>
              <w:rPr>
                <w:sz w:val="24"/>
                <w:szCs w:val="24"/>
              </w:rPr>
            </w:pPr>
            <w:r>
              <w:t>62.872,19</w:t>
            </w:r>
          </w:p>
        </w:tc>
      </w:tr>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rPr>
                <w:sz w:val="24"/>
                <w:szCs w:val="24"/>
              </w:rPr>
            </w:pPr>
          </w:p>
          <w:p w:rsidR="00FC05CD" w:rsidRDefault="00FC05CD">
            <w:r>
              <w:t xml:space="preserve">AMMONTARE INTERESSI COMPRESI INTERESSI PER </w:t>
            </w:r>
          </w:p>
          <w:p w:rsidR="00FC05CD" w:rsidRDefault="00FC05CD">
            <w:r>
              <w:t xml:space="preserve">ANTICIPAZIONI CASSA </w:t>
            </w:r>
          </w:p>
          <w:p w:rsidR="00FC05CD" w:rsidRDefault="00FC05CD">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C05CD" w:rsidRDefault="00FC05CD">
            <w:pPr>
              <w:jc w:val="right"/>
              <w:rPr>
                <w:sz w:val="24"/>
                <w:szCs w:val="24"/>
              </w:rPr>
            </w:pPr>
          </w:p>
          <w:p w:rsidR="00FC05CD" w:rsidRDefault="00FC05CD">
            <w:pPr>
              <w:jc w:val="right"/>
              <w:rPr>
                <w:sz w:val="24"/>
                <w:szCs w:val="24"/>
              </w:rPr>
            </w:pPr>
            <w:r>
              <w:t>15036,16</w:t>
            </w:r>
          </w:p>
        </w:tc>
      </w:tr>
      <w:tr w:rsidR="00FC05CD" w:rsidTr="00FC05CD">
        <w:tc>
          <w:tcPr>
            <w:tcW w:w="0" w:type="auto"/>
            <w:tcBorders>
              <w:top w:val="single" w:sz="4" w:space="0" w:color="auto"/>
              <w:left w:val="single" w:sz="4" w:space="0" w:color="auto"/>
              <w:bottom w:val="single" w:sz="4" w:space="0" w:color="auto"/>
              <w:right w:val="single" w:sz="4" w:space="0" w:color="auto"/>
            </w:tcBorders>
          </w:tcPr>
          <w:p w:rsidR="00FC05CD" w:rsidRDefault="00FC05CD">
            <w:pPr>
              <w:rPr>
                <w:sz w:val="24"/>
                <w:szCs w:val="24"/>
              </w:rPr>
            </w:pPr>
          </w:p>
          <w:p w:rsidR="00FC05CD" w:rsidRDefault="00FC05CD">
            <w:r>
              <w:t>AMMONTARE DISPONIBILE PER NUOVI INTERESSI</w:t>
            </w:r>
          </w:p>
          <w:p w:rsidR="00FC05CD" w:rsidRDefault="00FC05CD">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C05CD" w:rsidRDefault="00FC05CD">
            <w:pPr>
              <w:jc w:val="right"/>
              <w:rPr>
                <w:sz w:val="24"/>
                <w:szCs w:val="24"/>
              </w:rPr>
            </w:pPr>
            <w:r>
              <w:t>47.836,03</w:t>
            </w:r>
          </w:p>
        </w:tc>
      </w:tr>
    </w:tbl>
    <w:p w:rsidR="00FC05CD" w:rsidRDefault="00FC05CD" w:rsidP="00FC05CD">
      <w:pPr>
        <w:tabs>
          <w:tab w:val="right" w:pos="9638"/>
        </w:tabs>
        <w:jc w:val="both"/>
      </w:pPr>
      <w:r>
        <w:br w:type="textWrapping" w:clear="all"/>
      </w:r>
    </w:p>
    <w:p w:rsidR="00FC05CD" w:rsidRDefault="00FC05CD" w:rsidP="00FC05CD">
      <w:pPr>
        <w:tabs>
          <w:tab w:val="right" w:pos="9638"/>
        </w:tabs>
        <w:jc w:val="center"/>
      </w:pPr>
    </w:p>
    <w:p w:rsidR="00FC05CD" w:rsidRDefault="00FC05CD" w:rsidP="00FC05CD">
      <w:pPr>
        <w:tabs>
          <w:tab w:val="right" w:pos="9638"/>
        </w:tabs>
        <w:jc w:val="center"/>
      </w:pPr>
    </w:p>
    <w:p w:rsidR="00FC05CD" w:rsidRDefault="00FC05CD" w:rsidP="00FC05CD">
      <w:pPr>
        <w:tabs>
          <w:tab w:val="right" w:pos="9638"/>
        </w:tabs>
        <w:jc w:val="center"/>
      </w:pPr>
    </w:p>
    <w:p w:rsidR="00FC05CD" w:rsidRDefault="00FC05CD" w:rsidP="00FC05CD">
      <w:pPr>
        <w:tabs>
          <w:tab w:val="right" w:pos="9638"/>
        </w:tabs>
        <w:jc w:val="center"/>
      </w:pPr>
    </w:p>
    <w:p w:rsidR="00FC05CD" w:rsidRDefault="00FC05CD" w:rsidP="00FC05CD">
      <w:pPr>
        <w:tabs>
          <w:tab w:val="right" w:pos="9638"/>
        </w:tabs>
        <w:jc w:val="center"/>
      </w:pPr>
      <w:r>
        <w:t xml:space="preserve">EVOLUZIONE DELL’INDEBITAMENTO  </w:t>
      </w:r>
    </w:p>
    <w:p w:rsidR="00FC05CD" w:rsidRDefault="00FC05CD" w:rsidP="00FC05CD">
      <w:pPr>
        <w:tabs>
          <w:tab w:val="right" w:pos="9638"/>
        </w:tabs>
        <w:jc w:val="center"/>
      </w:pPr>
    </w:p>
    <w:p w:rsidR="00FC05CD" w:rsidRDefault="00FC05CD" w:rsidP="00FC05CD">
      <w:pPr>
        <w:tabs>
          <w:tab w:val="right" w:pos="9638"/>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1219"/>
        <w:gridCol w:w="1386"/>
        <w:gridCol w:w="1386"/>
        <w:gridCol w:w="1386"/>
        <w:gridCol w:w="1386"/>
      </w:tblGrid>
      <w:tr w:rsidR="00FC05CD" w:rsidTr="00FC05CD">
        <w:trPr>
          <w:jc w:val="center"/>
        </w:trPr>
        <w:tc>
          <w:tcPr>
            <w:tcW w:w="1646" w:type="dxa"/>
            <w:tcBorders>
              <w:top w:val="single" w:sz="4" w:space="0" w:color="auto"/>
              <w:left w:val="single" w:sz="4" w:space="0" w:color="auto"/>
              <w:bottom w:val="single" w:sz="4" w:space="0" w:color="auto"/>
              <w:right w:val="single" w:sz="4" w:space="0" w:color="auto"/>
            </w:tcBorders>
            <w:shd w:val="clear" w:color="auto" w:fill="F2F2F2"/>
          </w:tcPr>
          <w:p w:rsidR="00FC05CD" w:rsidRDefault="00FC05CD">
            <w:pPr>
              <w:tabs>
                <w:tab w:val="right" w:pos="9638"/>
              </w:tabs>
              <w:jc w:val="both"/>
              <w:rPr>
                <w:sz w:val="24"/>
                <w:szCs w:val="24"/>
              </w:rPr>
            </w:pPr>
          </w:p>
        </w:tc>
        <w:tc>
          <w:tcPr>
            <w:tcW w:w="1219"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pPr>
              <w:tabs>
                <w:tab w:val="right" w:pos="9638"/>
              </w:tabs>
              <w:jc w:val="center"/>
              <w:rPr>
                <w:b/>
                <w:bCs/>
                <w:sz w:val="24"/>
                <w:szCs w:val="24"/>
              </w:rPr>
            </w:pPr>
            <w:r>
              <w:rPr>
                <w:b/>
                <w:bCs/>
              </w:rPr>
              <w:t>2013</w:t>
            </w:r>
          </w:p>
        </w:tc>
        <w:tc>
          <w:tcPr>
            <w:tcW w:w="1386"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pPr>
              <w:tabs>
                <w:tab w:val="right" w:pos="9638"/>
              </w:tabs>
              <w:jc w:val="center"/>
              <w:rPr>
                <w:b/>
                <w:bCs/>
                <w:sz w:val="24"/>
                <w:szCs w:val="24"/>
              </w:rPr>
            </w:pPr>
            <w:r>
              <w:rPr>
                <w:b/>
                <w:bCs/>
              </w:rPr>
              <w:t>2014</w:t>
            </w:r>
          </w:p>
        </w:tc>
        <w:tc>
          <w:tcPr>
            <w:tcW w:w="1386"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pPr>
              <w:tabs>
                <w:tab w:val="right" w:pos="9638"/>
              </w:tabs>
              <w:jc w:val="center"/>
              <w:rPr>
                <w:b/>
                <w:bCs/>
                <w:sz w:val="24"/>
                <w:szCs w:val="24"/>
              </w:rPr>
            </w:pPr>
            <w:r>
              <w:rPr>
                <w:b/>
                <w:bCs/>
              </w:rPr>
              <w:t>2015</w:t>
            </w:r>
          </w:p>
        </w:tc>
        <w:tc>
          <w:tcPr>
            <w:tcW w:w="1386"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pPr>
              <w:tabs>
                <w:tab w:val="right" w:pos="9638"/>
              </w:tabs>
              <w:jc w:val="center"/>
              <w:rPr>
                <w:b/>
                <w:bCs/>
                <w:sz w:val="24"/>
                <w:szCs w:val="24"/>
              </w:rPr>
            </w:pPr>
            <w:r>
              <w:rPr>
                <w:b/>
                <w:bCs/>
              </w:rPr>
              <w:t>2016</w:t>
            </w:r>
          </w:p>
        </w:tc>
        <w:tc>
          <w:tcPr>
            <w:tcW w:w="1386" w:type="dxa"/>
            <w:tcBorders>
              <w:top w:val="single" w:sz="4" w:space="0" w:color="auto"/>
              <w:left w:val="single" w:sz="4" w:space="0" w:color="auto"/>
              <w:bottom w:val="single" w:sz="4" w:space="0" w:color="auto"/>
              <w:right w:val="single" w:sz="4" w:space="0" w:color="auto"/>
            </w:tcBorders>
            <w:shd w:val="clear" w:color="auto" w:fill="F2F2F2"/>
            <w:hideMark/>
          </w:tcPr>
          <w:p w:rsidR="00FC05CD" w:rsidRDefault="00FC05CD">
            <w:pPr>
              <w:tabs>
                <w:tab w:val="right" w:pos="9638"/>
              </w:tabs>
              <w:jc w:val="center"/>
              <w:rPr>
                <w:b/>
                <w:bCs/>
                <w:sz w:val="24"/>
                <w:szCs w:val="24"/>
              </w:rPr>
            </w:pPr>
            <w:r>
              <w:rPr>
                <w:b/>
                <w:bCs/>
              </w:rPr>
              <w:t>2017</w:t>
            </w:r>
          </w:p>
        </w:tc>
      </w:tr>
      <w:tr w:rsidR="00FC05CD" w:rsidTr="00FC05CD">
        <w:trPr>
          <w:jc w:val="center"/>
        </w:trPr>
        <w:tc>
          <w:tcPr>
            <w:tcW w:w="1646" w:type="dxa"/>
            <w:tcBorders>
              <w:top w:val="single" w:sz="4" w:space="0" w:color="auto"/>
              <w:left w:val="single" w:sz="4" w:space="0" w:color="auto"/>
              <w:bottom w:val="single" w:sz="4" w:space="0" w:color="auto"/>
              <w:right w:val="single" w:sz="4" w:space="0" w:color="auto"/>
            </w:tcBorders>
            <w:hideMark/>
          </w:tcPr>
          <w:p w:rsidR="00FC05CD" w:rsidRDefault="00FC05CD">
            <w:pPr>
              <w:tabs>
                <w:tab w:val="right" w:pos="9638"/>
              </w:tabs>
              <w:jc w:val="both"/>
              <w:rPr>
                <w:sz w:val="24"/>
                <w:szCs w:val="24"/>
              </w:rPr>
            </w:pPr>
            <w:r>
              <w:t>Indebitamento al 1/01</w:t>
            </w:r>
          </w:p>
        </w:tc>
        <w:tc>
          <w:tcPr>
            <w:tcW w:w="1219"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r>
              <w:t>333.735,51</w:t>
            </w:r>
          </w:p>
          <w:p w:rsidR="00FC05CD" w:rsidRDefault="00FC05CD">
            <w:pPr>
              <w:tabs>
                <w:tab w:val="right" w:pos="9638"/>
              </w:tabs>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r>
              <w:t>313.409,55</w:t>
            </w:r>
          </w:p>
          <w:p w:rsidR="00FC05CD" w:rsidRDefault="00FC05CD">
            <w:pPr>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r>
              <w:t>291.948,33</w:t>
            </w:r>
          </w:p>
          <w:p w:rsidR="00FC05CD" w:rsidRDefault="00FC05CD">
            <w:pPr>
              <w:tabs>
                <w:tab w:val="right" w:pos="9638"/>
              </w:tabs>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r>
              <w:t>274.532,44</w:t>
            </w:r>
          </w:p>
          <w:p w:rsidR="00FC05CD" w:rsidRDefault="00FC05CD">
            <w:pPr>
              <w:tabs>
                <w:tab w:val="right" w:pos="9638"/>
              </w:tabs>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p>
          <w:p w:rsidR="00FC05CD" w:rsidRDefault="00FC05CD">
            <w:pPr>
              <w:jc w:val="right"/>
            </w:pPr>
            <w:r>
              <w:t>287.038,44</w:t>
            </w:r>
          </w:p>
          <w:p w:rsidR="00FC05CD" w:rsidRDefault="00FC05CD">
            <w:pPr>
              <w:jc w:val="right"/>
            </w:pPr>
          </w:p>
          <w:p w:rsidR="00FC05CD" w:rsidRDefault="00FC05CD">
            <w:pPr>
              <w:tabs>
                <w:tab w:val="right" w:pos="9638"/>
              </w:tabs>
              <w:jc w:val="right"/>
              <w:rPr>
                <w:sz w:val="24"/>
                <w:szCs w:val="24"/>
              </w:rPr>
            </w:pPr>
          </w:p>
        </w:tc>
      </w:tr>
      <w:tr w:rsidR="00FC05CD" w:rsidTr="00FC05CD">
        <w:trPr>
          <w:jc w:val="center"/>
        </w:trPr>
        <w:tc>
          <w:tcPr>
            <w:tcW w:w="1646" w:type="dxa"/>
            <w:tcBorders>
              <w:top w:val="single" w:sz="4" w:space="0" w:color="auto"/>
              <w:left w:val="single" w:sz="4" w:space="0" w:color="auto"/>
              <w:bottom w:val="single" w:sz="4" w:space="0" w:color="auto"/>
              <w:right w:val="single" w:sz="4" w:space="0" w:color="auto"/>
            </w:tcBorders>
            <w:hideMark/>
          </w:tcPr>
          <w:p w:rsidR="00FC05CD" w:rsidRDefault="00FC05CD">
            <w:pPr>
              <w:tabs>
                <w:tab w:val="right" w:pos="9638"/>
              </w:tabs>
              <w:jc w:val="both"/>
              <w:rPr>
                <w:sz w:val="24"/>
                <w:szCs w:val="24"/>
              </w:rPr>
            </w:pPr>
            <w:r>
              <w:t>Rimborso quota capitale (-)</w:t>
            </w:r>
          </w:p>
        </w:tc>
        <w:tc>
          <w:tcPr>
            <w:tcW w:w="1219"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p>
          <w:p w:rsidR="00FC05CD" w:rsidRDefault="00FC05CD">
            <w:pPr>
              <w:jc w:val="right"/>
            </w:pPr>
            <w:r>
              <w:t>20.314,96</w:t>
            </w:r>
          </w:p>
          <w:p w:rsidR="00FC05CD" w:rsidRDefault="00FC05CD">
            <w:pPr>
              <w:tabs>
                <w:tab w:val="right" w:pos="9638"/>
              </w:tabs>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p>
          <w:p w:rsidR="00FC05CD" w:rsidRDefault="00FC05CD">
            <w:pPr>
              <w:jc w:val="right"/>
            </w:pPr>
            <w:r>
              <w:t>21.461,22</w:t>
            </w:r>
          </w:p>
          <w:p w:rsidR="00FC05CD" w:rsidRDefault="00FC05CD">
            <w:pPr>
              <w:tabs>
                <w:tab w:val="right" w:pos="9638"/>
              </w:tabs>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17.415,89</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12.494,00</w:t>
            </w: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p>
          <w:p w:rsidR="00FC05CD" w:rsidRDefault="00FC05CD">
            <w:pPr>
              <w:jc w:val="right"/>
            </w:pPr>
          </w:p>
          <w:p w:rsidR="00FC05CD" w:rsidRDefault="00FC05CD">
            <w:pPr>
              <w:jc w:val="right"/>
            </w:pPr>
            <w:r>
              <w:t>15.195,74</w:t>
            </w:r>
          </w:p>
          <w:p w:rsidR="00FC05CD" w:rsidRDefault="00FC05CD">
            <w:pPr>
              <w:tabs>
                <w:tab w:val="right" w:pos="9638"/>
              </w:tabs>
              <w:jc w:val="right"/>
              <w:rPr>
                <w:sz w:val="24"/>
                <w:szCs w:val="24"/>
              </w:rPr>
            </w:pPr>
          </w:p>
        </w:tc>
      </w:tr>
      <w:tr w:rsidR="00FC05CD" w:rsidTr="00FC05CD">
        <w:trPr>
          <w:jc w:val="center"/>
        </w:trPr>
        <w:tc>
          <w:tcPr>
            <w:tcW w:w="1646" w:type="dxa"/>
            <w:tcBorders>
              <w:top w:val="single" w:sz="4" w:space="0" w:color="auto"/>
              <w:left w:val="single" w:sz="4" w:space="0" w:color="auto"/>
              <w:bottom w:val="single" w:sz="4" w:space="0" w:color="auto"/>
              <w:right w:val="single" w:sz="4" w:space="0" w:color="auto"/>
            </w:tcBorders>
            <w:hideMark/>
          </w:tcPr>
          <w:p w:rsidR="00FC05CD" w:rsidRDefault="00FC05CD">
            <w:pPr>
              <w:tabs>
                <w:tab w:val="right" w:pos="9638"/>
              </w:tabs>
              <w:jc w:val="both"/>
              <w:rPr>
                <w:sz w:val="24"/>
                <w:szCs w:val="24"/>
              </w:rPr>
            </w:pPr>
            <w:r>
              <w:t>Nuovi mutui (+)</w:t>
            </w:r>
          </w:p>
        </w:tc>
        <w:tc>
          <w:tcPr>
            <w:tcW w:w="1219"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25.000,00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25000,00</w:t>
            </w:r>
          </w:p>
        </w:tc>
      </w:tr>
      <w:tr w:rsidR="00FC05CD" w:rsidTr="00FC05CD">
        <w:trPr>
          <w:jc w:val="center"/>
        </w:trPr>
        <w:tc>
          <w:tcPr>
            <w:tcW w:w="1646" w:type="dxa"/>
            <w:tcBorders>
              <w:top w:val="single" w:sz="4" w:space="0" w:color="auto"/>
              <w:left w:val="single" w:sz="4" w:space="0" w:color="auto"/>
              <w:bottom w:val="single" w:sz="4" w:space="0" w:color="auto"/>
              <w:right w:val="single" w:sz="4" w:space="0" w:color="auto"/>
            </w:tcBorders>
            <w:hideMark/>
          </w:tcPr>
          <w:p w:rsidR="00FC05CD" w:rsidRDefault="00FC05CD">
            <w:pPr>
              <w:tabs>
                <w:tab w:val="right" w:pos="9638"/>
              </w:tabs>
              <w:jc w:val="both"/>
              <w:rPr>
                <w:sz w:val="24"/>
                <w:szCs w:val="24"/>
              </w:rPr>
            </w:pPr>
            <w:r>
              <w:t xml:space="preserve">Variazioni per anticipazioni Cassa </w:t>
            </w:r>
            <w:proofErr w:type="spellStart"/>
            <w:r>
              <w:t>DD.PP.</w:t>
            </w:r>
            <w:proofErr w:type="spellEnd"/>
            <w: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0,00</w:t>
            </w:r>
          </w:p>
        </w:tc>
      </w:tr>
      <w:tr w:rsidR="00FC05CD" w:rsidTr="00FC05CD">
        <w:trPr>
          <w:jc w:val="center"/>
        </w:trPr>
        <w:tc>
          <w:tcPr>
            <w:tcW w:w="1646" w:type="dxa"/>
            <w:tcBorders>
              <w:top w:val="single" w:sz="4" w:space="0" w:color="auto"/>
              <w:left w:val="single" w:sz="4" w:space="0" w:color="auto"/>
              <w:bottom w:val="single" w:sz="4" w:space="0" w:color="auto"/>
              <w:right w:val="single" w:sz="4" w:space="0" w:color="auto"/>
            </w:tcBorders>
            <w:hideMark/>
          </w:tcPr>
          <w:p w:rsidR="00FC05CD" w:rsidRDefault="00FC05CD">
            <w:pPr>
              <w:tabs>
                <w:tab w:val="right" w:pos="9638"/>
              </w:tabs>
              <w:jc w:val="both"/>
              <w:rPr>
                <w:sz w:val="24"/>
                <w:szCs w:val="24"/>
              </w:rPr>
            </w:pPr>
            <w:r>
              <w:t>Indebitamento al 31/12</w:t>
            </w:r>
          </w:p>
        </w:tc>
        <w:tc>
          <w:tcPr>
            <w:tcW w:w="1219"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p>
          <w:p w:rsidR="00FC05CD" w:rsidRDefault="00FC05CD">
            <w:pPr>
              <w:jc w:val="right"/>
            </w:pPr>
            <w:r>
              <w:t>313.409,55</w:t>
            </w:r>
          </w:p>
          <w:p w:rsidR="00FC05CD" w:rsidRDefault="00FC05CD">
            <w:pPr>
              <w:tabs>
                <w:tab w:val="right" w:pos="9638"/>
              </w:tabs>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p>
          <w:p w:rsidR="00FC05CD" w:rsidRDefault="00FC05CD">
            <w:pPr>
              <w:jc w:val="right"/>
            </w:pPr>
            <w:r>
              <w:t>291.948,33</w:t>
            </w:r>
          </w:p>
          <w:p w:rsidR="00FC05CD" w:rsidRDefault="00FC05CD">
            <w:pPr>
              <w:tabs>
                <w:tab w:val="right" w:pos="9638"/>
              </w:tabs>
              <w:jc w:val="right"/>
              <w:rPr>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274.532,44</w:t>
            </w:r>
          </w:p>
        </w:tc>
        <w:tc>
          <w:tcPr>
            <w:tcW w:w="1386" w:type="dxa"/>
            <w:tcBorders>
              <w:top w:val="single" w:sz="4" w:space="0" w:color="auto"/>
              <w:left w:val="single" w:sz="4" w:space="0" w:color="auto"/>
              <w:bottom w:val="single" w:sz="4" w:space="0" w:color="auto"/>
              <w:right w:val="single" w:sz="4" w:space="0" w:color="auto"/>
            </w:tcBorders>
            <w:vAlign w:val="center"/>
            <w:hideMark/>
          </w:tcPr>
          <w:p w:rsidR="00FC05CD" w:rsidRDefault="00FC05CD">
            <w:pPr>
              <w:tabs>
                <w:tab w:val="right" w:pos="9638"/>
              </w:tabs>
              <w:jc w:val="right"/>
              <w:rPr>
                <w:sz w:val="24"/>
                <w:szCs w:val="24"/>
              </w:rPr>
            </w:pPr>
            <w:r>
              <w:t>287.038,44</w:t>
            </w:r>
          </w:p>
        </w:tc>
        <w:tc>
          <w:tcPr>
            <w:tcW w:w="1386" w:type="dxa"/>
            <w:tcBorders>
              <w:top w:val="single" w:sz="4" w:space="0" w:color="auto"/>
              <w:left w:val="single" w:sz="4" w:space="0" w:color="auto"/>
              <w:bottom w:val="single" w:sz="4" w:space="0" w:color="auto"/>
              <w:right w:val="single" w:sz="4" w:space="0" w:color="auto"/>
            </w:tcBorders>
            <w:vAlign w:val="center"/>
          </w:tcPr>
          <w:p w:rsidR="00FC05CD" w:rsidRDefault="00FC05CD">
            <w:pPr>
              <w:jc w:val="right"/>
              <w:rPr>
                <w:sz w:val="24"/>
                <w:szCs w:val="24"/>
              </w:rPr>
            </w:pPr>
          </w:p>
          <w:p w:rsidR="00FC05CD" w:rsidRDefault="00FC05CD">
            <w:pPr>
              <w:jc w:val="right"/>
              <w:rPr>
                <w:sz w:val="24"/>
                <w:szCs w:val="24"/>
              </w:rPr>
            </w:pPr>
            <w:r>
              <w:t>292.513,70</w:t>
            </w:r>
          </w:p>
        </w:tc>
      </w:tr>
    </w:tbl>
    <w:p w:rsidR="00FC05CD" w:rsidRDefault="00FC05CD" w:rsidP="00136476">
      <w:pPr>
        <w:spacing w:before="240" w:after="0" w:line="240" w:lineRule="auto"/>
        <w:ind w:left="360"/>
        <w:jc w:val="both"/>
        <w:rPr>
          <w:u w:val="single"/>
        </w:rPr>
      </w:pPr>
      <w:r>
        <w:rPr>
          <w:u w:val="single"/>
        </w:rPr>
        <w:t>Riflessi sulla spesa corrente derivanti dalla realizzazione di opere</w:t>
      </w:r>
    </w:p>
    <w:p w:rsidR="00FC05CD" w:rsidRDefault="00FC05CD" w:rsidP="00FC05CD">
      <w:pPr>
        <w:spacing w:before="240"/>
        <w:ind w:left="360"/>
        <w:jc w:val="both"/>
        <w:rPr>
          <w:u w:val="single"/>
        </w:rPr>
      </w:pPr>
    </w:p>
    <w:p w:rsidR="00FC05CD" w:rsidRDefault="00FC05CD" w:rsidP="00FC05CD">
      <w:pPr>
        <w:jc w:val="both"/>
      </w:pPr>
      <w:r>
        <w:t>La realizzazione delle nuove opere previste nel piano triennale, qualora ricevessero finanziamento determinerà il sorgere di alcune spese correnti, la cui quantificazione sarà oggetto di apposita variazione al bilancio di previsione. In particolare, l'analisi e la determinazione delle nuove spese di gestione e manutenzione sarà effettuata tenendo conto della relativa spesa di opere analoghe.</w:t>
      </w:r>
    </w:p>
    <w:p w:rsidR="00FC05CD" w:rsidRDefault="00FC05CD" w:rsidP="00FC05CD">
      <w:pPr>
        <w:jc w:val="both"/>
      </w:pPr>
    </w:p>
    <w:p w:rsidR="00FC05CD" w:rsidRDefault="00FC05CD" w:rsidP="00FC05CD">
      <w:pPr>
        <w:spacing w:before="360"/>
        <w:jc w:val="both"/>
      </w:pPr>
      <w:r>
        <w:lastRenderedPageBreak/>
        <w:t xml:space="preserve">4) EQUILIBRI DELLA SITUAZIONE CORRENTE E GENERALI DEL BILANCIO ED I RELATIVI EQUILIBRI IN TERMINI </w:t>
      </w:r>
      <w:proofErr w:type="spellStart"/>
      <w:r>
        <w:t>DI</w:t>
      </w:r>
      <w:proofErr w:type="spellEnd"/>
      <w:r>
        <w:t xml:space="preserve"> CASSA.</w:t>
      </w:r>
    </w:p>
    <w:p w:rsidR="00FC05CD" w:rsidRDefault="00FC05CD" w:rsidP="00FC05CD">
      <w:pPr>
        <w:pStyle w:val="Corpodeltesto2"/>
        <w:spacing w:before="360" w:line="240" w:lineRule="auto"/>
      </w:pPr>
      <w:r>
        <w:t xml:space="preserve">Il Consiglio Comunale, con l’approvazione politica di questo documento di programmazione, identifica gli obiettivi generali e destina le conseguenti risorse di bilancio. Il tutto, rispettando nell’intervallo di tempo richiesto dalla programmazione il pareggio tra risorse destinate (entrate) e relativi impieghi (uscite). L’amministrazione può agire in quattro direzioni ben definite: la gestione corrente, gli interventi negli investimenti, l’utilizzo dei movimenti di fondi e la registrazione dei servizi per c/terzi. Ognuno di questi comparti può essere inteso come un’entità autonoma. Di norma, le scelte inerenti i programmi riguardano solo i primi due contesti (corrente e investimenti) perché i servizi c/terzi sono semplici partite di giro, i  cui movimenti di fondi interessano operazioni finanziarie di entrate e di uscita che si compensano.  </w:t>
      </w:r>
    </w:p>
    <w:p w:rsidR="00FC05CD" w:rsidRDefault="00FC05CD" w:rsidP="00FC05CD">
      <w:pPr>
        <w:numPr>
          <w:ilvl w:val="0"/>
          <w:numId w:val="7"/>
        </w:numPr>
        <w:spacing w:after="160" w:line="256" w:lineRule="auto"/>
        <w:jc w:val="both"/>
        <w:rPr>
          <w:u w:val="single"/>
        </w:rPr>
      </w:pPr>
      <w:r>
        <w:rPr>
          <w:u w:val="single"/>
        </w:rPr>
        <w:t xml:space="preserve">Reperimento e impiego di risorse straordinarie e in conto capitale (eventuale) </w:t>
      </w:r>
    </w:p>
    <w:p w:rsidR="00FC05CD" w:rsidRDefault="00FC05CD" w:rsidP="00FC05CD">
      <w:pPr>
        <w:jc w:val="both"/>
      </w:pPr>
      <w:r>
        <w:t>Il reperimento e l’impiego di risorse straordinarie e in conto capitale rappresenta uno dei più difficili compiti di istituto dell'Ente, in quanto punto nevralgico dell'attività Amministrativa e dei fattori trainanti di una possibile ripresa ed una evoluzione positiva della vita e del progresso sociale ed economico della nostra comunità.</w:t>
      </w:r>
    </w:p>
    <w:p w:rsidR="00FC05CD" w:rsidRDefault="00FC05CD" w:rsidP="00FC05CD">
      <w:pPr>
        <w:jc w:val="both"/>
      </w:pPr>
      <w:r>
        <w:tab/>
        <w:t xml:space="preserve">Questo ente purtroppo non ha fondi propri di bilancio pertanto le opere che sono state realizzate e che si realizzeranno nel futuro triennio sono state e saranno frutto di contributi concessi dalla Regione Lazio  e dalla Comunità Montana nonché di mutui assunti con la cassa </w:t>
      </w:r>
      <w:proofErr w:type="spellStart"/>
      <w:r>
        <w:t>DD.PP</w:t>
      </w:r>
      <w:proofErr w:type="spellEnd"/>
      <w:r>
        <w:t>.</w:t>
      </w:r>
    </w:p>
    <w:p w:rsidR="00FC05CD" w:rsidRDefault="00FC05CD" w:rsidP="00FC05CD">
      <w:pPr>
        <w:numPr>
          <w:ilvl w:val="0"/>
          <w:numId w:val="7"/>
        </w:numPr>
        <w:spacing w:before="240" w:after="160" w:line="256" w:lineRule="auto"/>
        <w:jc w:val="both"/>
        <w:rPr>
          <w:u w:val="single"/>
        </w:rPr>
      </w:pPr>
      <w:r>
        <w:rPr>
          <w:u w:val="single"/>
        </w:rPr>
        <w:t>Equilibri in termini di competenza e di cassa</w:t>
      </w:r>
    </w:p>
    <w:p w:rsidR="00FC05CD" w:rsidRDefault="00FC05CD" w:rsidP="00FC05CD">
      <w:r>
        <w:t xml:space="preserve">L'attuale bilancio  di previsione consente il conseguimento e il mantenimento degli equilibri in corso d'esercizio. L'equilibrio della parte corrente è stata conseguita attraverso l’utilizzo dei fondi derivanti dalla vendita di legname.  Alla luce di quanto sopra, l'Ente può prevedere un mantenimento degli equilibri generali del bilancio nel corso del tempo attraverso l’utilizzo dei fondi derivanti dal taglio del bosco come previsto nel piano </w:t>
      </w:r>
      <w:proofErr w:type="spellStart"/>
      <w:r>
        <w:t>silvo</w:t>
      </w:r>
      <w:proofErr w:type="spellEnd"/>
      <w:r>
        <w:t xml:space="preserve"> pastorale ed una oculata politica di contenimento della spesa a fronte di tagli dei trasferimenti era</w:t>
      </w:r>
    </w:p>
    <w:sectPr w:rsidR="00FC05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55B"/>
    <w:multiLevelType w:val="hybridMultilevel"/>
    <w:tmpl w:val="3620BE8A"/>
    <w:lvl w:ilvl="0" w:tplc="14C04FD0">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nsid w:val="14DC72A8"/>
    <w:multiLevelType w:val="hybridMultilevel"/>
    <w:tmpl w:val="AA225644"/>
    <w:lvl w:ilvl="0" w:tplc="0410000F">
      <w:start w:val="1"/>
      <w:numFmt w:val="decimal"/>
      <w:lvlText w:val="%1."/>
      <w:lvlJc w:val="left"/>
      <w:pPr>
        <w:tabs>
          <w:tab w:val="num" w:pos="720"/>
        </w:tabs>
        <w:ind w:left="720" w:hanging="360"/>
      </w:pPr>
      <w:rPr>
        <w:rFonts w:ascii="Times New Roman" w:hAnsi="Times New Roman"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9050721"/>
    <w:multiLevelType w:val="hybridMultilevel"/>
    <w:tmpl w:val="B9488A2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34F31145"/>
    <w:multiLevelType w:val="hybridMultilevel"/>
    <w:tmpl w:val="AE4ABFCE"/>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nsid w:val="3767188A"/>
    <w:multiLevelType w:val="hybridMultilevel"/>
    <w:tmpl w:val="6A9A360E"/>
    <w:lvl w:ilvl="0" w:tplc="51F21776">
      <w:start w:val="1"/>
      <w:numFmt w:val="upp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424D3C5B"/>
    <w:multiLevelType w:val="hybridMultilevel"/>
    <w:tmpl w:val="B46AC79A"/>
    <w:lvl w:ilvl="0" w:tplc="A1ACDA1A">
      <w:start w:val="1"/>
      <w:numFmt w:val="upp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6B7B21E7"/>
    <w:multiLevelType w:val="hybridMultilevel"/>
    <w:tmpl w:val="CA9C58DC"/>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C05CD"/>
    <w:rsid w:val="00136476"/>
    <w:rsid w:val="0068360E"/>
    <w:rsid w:val="00C63FCD"/>
    <w:rsid w:val="00E5210D"/>
    <w:rsid w:val="00FC05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unhideWhenUsed/>
    <w:rsid w:val="00FC05CD"/>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semiHidden/>
    <w:rsid w:val="00FC05CD"/>
    <w:rPr>
      <w:rFonts w:ascii="Times New Roman" w:eastAsia="Times New Roman" w:hAnsi="Times New Roman" w:cs="Times New Roman"/>
      <w:sz w:val="24"/>
      <w:szCs w:val="24"/>
    </w:rPr>
  </w:style>
  <w:style w:type="paragraph" w:styleId="Corpodeltesto2">
    <w:name w:val="Body Text 2"/>
    <w:basedOn w:val="Normale"/>
    <w:link w:val="Corpodeltesto2Carattere"/>
    <w:semiHidden/>
    <w:unhideWhenUsed/>
    <w:rsid w:val="00FC05CD"/>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semiHidden/>
    <w:rsid w:val="00FC05CD"/>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semiHidden/>
    <w:unhideWhenUsed/>
    <w:rsid w:val="00FC05CD"/>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semiHidden/>
    <w:rsid w:val="00FC05CD"/>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semiHidden/>
    <w:unhideWhenUsed/>
    <w:rsid w:val="00FC05CD"/>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semiHidden/>
    <w:rsid w:val="00FC05CD"/>
    <w:rPr>
      <w:rFonts w:ascii="Times New Roman" w:eastAsia="Times New Roman" w:hAnsi="Times New Roman" w:cs="Times New Roman"/>
      <w:sz w:val="16"/>
      <w:szCs w:val="16"/>
    </w:rPr>
  </w:style>
  <w:style w:type="paragraph" w:customStyle="1" w:styleId="ListParagraph">
    <w:name w:val="List Paragraph"/>
    <w:basedOn w:val="Normale"/>
    <w:rsid w:val="00FC05CD"/>
    <w:pPr>
      <w:spacing w:after="160" w:line="256" w:lineRule="auto"/>
      <w:ind w:left="720"/>
    </w:pPr>
    <w:rPr>
      <w:rFonts w:ascii="Calibri" w:eastAsia="Times New Roman" w:hAnsi="Calibri" w:cs="Calibri"/>
      <w:lang w:eastAsia="en-US"/>
    </w:rPr>
  </w:style>
  <w:style w:type="paragraph" w:customStyle="1" w:styleId="NoSpacing">
    <w:name w:val="No Spacing"/>
    <w:rsid w:val="00FC05CD"/>
    <w:pPr>
      <w:spacing w:after="0" w:line="240" w:lineRule="auto"/>
    </w:pPr>
    <w:rPr>
      <w:rFonts w:ascii="Calibri" w:eastAsia="Times New Roman" w:hAnsi="Calibri" w:cs="Calibri"/>
      <w:sz w:val="20"/>
      <w:szCs w:val="20"/>
      <w:lang w:eastAsia="en-US"/>
    </w:rPr>
  </w:style>
  <w:style w:type="paragraph" w:styleId="Testofumetto">
    <w:name w:val="Balloon Text"/>
    <w:basedOn w:val="Normale"/>
    <w:link w:val="TestofumettoCarattere"/>
    <w:uiPriority w:val="99"/>
    <w:semiHidden/>
    <w:unhideWhenUsed/>
    <w:rsid w:val="00FC05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05CD"/>
    <w:rPr>
      <w:rFonts w:ascii="Tahoma" w:hAnsi="Tahoma" w:cs="Tahoma"/>
      <w:sz w:val="16"/>
      <w:szCs w:val="16"/>
    </w:rPr>
  </w:style>
  <w:style w:type="paragraph" w:customStyle="1" w:styleId="Corpotesto">
    <w:name w:val="Corpo testo"/>
    <w:basedOn w:val="Normale"/>
    <w:link w:val="CorpotestoCarattere"/>
    <w:rsid w:val="00E5210D"/>
    <w:pPr>
      <w:spacing w:after="120" w:line="240" w:lineRule="auto"/>
      <w:jc w:val="both"/>
    </w:pPr>
    <w:rPr>
      <w:rFonts w:ascii="Times New Roman" w:eastAsia="Calibri" w:hAnsi="Times New Roman" w:cs="Times New Roman"/>
      <w:sz w:val="20"/>
      <w:szCs w:val="20"/>
    </w:rPr>
  </w:style>
  <w:style w:type="character" w:customStyle="1" w:styleId="CorpotestoCarattere">
    <w:name w:val="Corpo testo Carattere"/>
    <w:link w:val="Corpotesto"/>
    <w:locked/>
    <w:rsid w:val="00E5210D"/>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68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C:\Users\UFF%20RAGIONERIA\Desktop\BILANCIO%202019\ENTE.B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7468-BC62-43C1-BE13-13690271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1947</Words>
  <Characters>11103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 RAGIONERIA</dc:creator>
  <cp:keywords/>
  <dc:description/>
  <cp:lastModifiedBy>UFF RAGIONERIA</cp:lastModifiedBy>
  <cp:revision>3</cp:revision>
  <dcterms:created xsi:type="dcterms:W3CDTF">2019-05-16T11:16:00Z</dcterms:created>
  <dcterms:modified xsi:type="dcterms:W3CDTF">2019-05-16T12:10:00Z</dcterms:modified>
</cp:coreProperties>
</file>